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before="0"/>
              <w:jc w:val="center"/>
            </w:pPr>
            <w:r>
              <w:rPr>
                <w:rFonts w:ascii="Arial" w:cs="Arial" w:eastAsia="Arial" w:hAnsi="Arial"/>
                <w:b/>
                <w:bCs/>
                <w:caps/>
                <w:color w:val="A9C4E0"/>
                <w:sz w:val="20"/>
                <w:szCs w:val="20"/>
              </w:rPr>
              <w:t xml:space="preserve">EVALUATION FRAMEWORK</w:t>
            </w:r>
          </w:p>
          <w:p>
            <w:pPr>
              <w:spacing w:after="100" w:before="0"/>
              <w:jc w:val="center"/>
            </w:pPr>
            <w:r>
              <w:rPr>
                <w:rFonts w:ascii="Arial" w:cs="Arial" w:eastAsia="Arial" w:hAnsi="Arial"/>
                <w:b/>
                <w:bCs/>
                <w:color w:val="FFFFFF"/>
                <w:sz w:val="44"/>
                <w:szCs w:val="44"/>
              </w:rPr>
              <w:t xml:space="preserve">Legacy Biomedical Variant Database</w:t>
            </w:r>
          </w:p>
          <w:p>
            <w:pPr>
              <w:spacing w:after="200" w:before="0"/>
              <w:jc w:val="center"/>
            </w:pPr>
            <w:r>
              <w:rPr>
                <w:rFonts w:ascii="Arial" w:cs="Arial" w:eastAsia="Arial" w:hAnsi="Arial"/>
                <w:color w:val="B0C8E0"/>
                <w:sz w:val="28"/>
                <w:szCs w:val="28"/>
              </w:rPr>
              <w:t xml:space="preserve">Audit &amp; Standardisation Readiness Assessment</w:t>
            </w:r>
          </w:p>
          <w:p>
            <w:pPr>
              <w:spacing w:after="0" w:before="80"/>
              <w:jc w:val="center"/>
            </w:pPr>
            <w:r>
              <w:rPr>
                <w:rFonts w:ascii="Arial" w:cs="Arial" w:eastAsia="Arial" w:hAnsi="Arial"/>
                <w:color w:val="A9C4E0"/>
                <w:sz w:val="22"/>
                <w:szCs w:val="22"/>
              </w:rPr>
              <w:t xml:space="preserve">Rare Disease  ·  Primary Immunodeficiency  ·  Cancer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Document type</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Working draft — for internal review and discussion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IDbases → LOVD Migration Thesis, Lund University</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Khoi</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March 2026</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0.1 (draft)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Scope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Universal evaluation pipeline for legacy LSDBs — immunodeficiency, rare disease, cancer</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Related document</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Pipeline Documentation v5 (pipeline_documentation_v5.docx)</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EBF3FB"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Purpose. </w:t>
            </w:r>
            <w:r>
              <w:rPr>
                <w:rFonts w:ascii="Arial" w:cs="Arial" w:eastAsia="Arial" w:hAnsi="Arial"/>
                <w:color w:val="000000"/>
                <w:sz w:val="20"/>
                <w:szCs w:val="20"/>
              </w:rPr>
              <w:t xml:space="preserve">This document proposes a structured, reproducible framework for auditing legacy locus-specific databases (LSDBs) before migration to modern variant curation platforms such as LOVD, ClinVar, or equivalent systems. It is grounded in observations made during the IDbases-to-LOVD migration project at Lund University and is intended to generalise to databases in related disease domains, including rare disease, primary immunodeficiency (PID), and cancer genetics.</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  Background &amp; Motivation</w:t>
      </w:r>
    </w:p>
    <w:p>
      <w:pPr>
        <w:spacing w:after="80" w:before="80"/>
      </w:pPr>
      <w:r>
        <w:rPr>
          <w:rFonts w:ascii="Arial" w:cs="Arial" w:eastAsia="Arial" w:hAnsi="Arial"/>
          <w:b w:val="false"/>
          <w:bCs w:val="false"/>
          <w:color w:val="000000"/>
          <w:sz w:val="22"/>
          <w:szCs w:val="22"/>
        </w:rPr>
        <w:t xml:space="preserve">The global landscape of biomedical variant databases is characterised by a long tail of legacy systems: databases that were scientifically valuable when created but have since become isolated from modern infrastructure. Many were built before HGVS nomenclature matured, before GRCh38 became the reference assembly standard, and long before open API access was considered a requirement. The IDbases collection at Lund University is a canonical example: 131 gene-specific locus databases built on the MUTbase platform since 1999, housing 7,341 variant records from immunodeficient patients, yet lacking API support, genome-build currency, and interoperability with platforms like ClinVar or Ensembl.</w:t>
      </w:r>
    </w:p>
    <w:p>
      <w:pPr>
        <w:spacing w:after="80" w:before="80"/>
      </w:pPr>
      <w:r>
        <w:rPr>
          <w:rFonts w:ascii="Arial" w:cs="Arial" w:eastAsia="Arial" w:hAnsi="Arial"/>
          <w:b w:val="false"/>
          <w:bCs w:val="false"/>
          <w:color w:val="000000"/>
          <w:sz w:val="22"/>
          <w:szCs w:val="22"/>
        </w:rPr>
        <w:t xml:space="preserve">Databases of similar vintage exist across rare disease and cancer genetics — often maintained by single research groups, hosted on institutional servers, and at risk of irrecoverable loss if custodianship lapses. The consequences of uncontrolled degradation include duplicated curation effort across the community, loss of historically unique patient-level variant data, and barriers to computational reanalysis that precision genomics increasingly demands.</w:t>
      </w:r>
    </w:p>
    <w:p>
      <w:pPr>
        <w:spacing w:after="80" w:before="80"/>
      </w:pPr>
      <w:r>
        <w:rPr>
          <w:rFonts w:ascii="Arial" w:cs="Arial" w:eastAsia="Arial" w:hAnsi="Arial"/>
          <w:b w:val="false"/>
          <w:bCs w:val="false"/>
          <w:color w:val="000000"/>
          <w:sz w:val="22"/>
          <w:szCs w:val="22"/>
        </w:rPr>
        <w:t xml:space="preserve">Before any migration pipeline can be designed, the source database must be systematically characterised: its strengths preserved, its deficiencies quantified, and its technical debt catalogued. This evaluation framework provides that characterisation step. It produces a scored profile across seven domains, a maturity tier assignment, and a targeted remediation roadmap that feeds directly into the migration pipeline design.</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Scope &amp; Applicability</w:t>
      </w:r>
    </w:p>
    <w:p>
      <w:pPr>
        <w:spacing w:after="80" w:before="80"/>
      </w:pPr>
      <w:r>
        <w:rPr>
          <w:rFonts w:ascii="Arial" w:cs="Arial" w:eastAsia="Arial" w:hAnsi="Arial"/>
          <w:b w:val="false"/>
          <w:bCs w:val="false"/>
          <w:color w:val="000000"/>
          <w:sz w:val="22"/>
          <w:szCs w:val="22"/>
        </w:rPr>
        <w:t xml:space="preserve">This framework is designed to be applied to:</w:t>
      </w:r>
    </w:p>
    <w:p>
      <w:pPr>
        <w:pStyle w:val="ListParagraph"/>
        <w:numPr>
          <w:ilvl w:val="0"/>
          <w:numId w:val="2"/>
        </w:numPr>
        <w:spacing w:after="40" w:before="40"/>
      </w:pPr>
      <w:r>
        <w:rPr>
          <w:rFonts w:ascii="Arial" w:cs="Arial" w:eastAsia="Arial" w:hAnsi="Arial"/>
          <w:b w:val="false"/>
          <w:bCs w:val="false"/>
          <w:color w:val="000000"/>
          <w:sz w:val="22"/>
          <w:szCs w:val="22"/>
        </w:rPr>
        <w:t xml:space="preserve">Locus-specific databases (LSDBs) for any gene or disease — primary immunodeficiency, rare disease, cancer predisposition, or other monogenic conditions.</w:t>
      </w:r>
    </w:p>
    <w:p>
      <w:pPr>
        <w:pStyle w:val="ListParagraph"/>
        <w:numPr>
          <w:ilvl w:val="0"/>
          <w:numId w:val="2"/>
        </w:numPr>
        <w:spacing w:after="40" w:before="40"/>
      </w:pPr>
      <w:r>
        <w:rPr>
          <w:rFonts w:ascii="Arial" w:cs="Arial" w:eastAsia="Arial" w:hAnsi="Arial"/>
          <w:b w:val="false"/>
          <w:bCs w:val="false"/>
          <w:color w:val="000000"/>
          <w:sz w:val="22"/>
          <w:szCs w:val="22"/>
        </w:rPr>
        <w:t xml:space="preserve">Databases of any technology vintage — flat-file HTML, custom relational databases, spreadsheet-driven systems, early web platforms.</w:t>
      </w:r>
    </w:p>
    <w:p>
      <w:pPr>
        <w:pStyle w:val="ListParagraph"/>
        <w:numPr>
          <w:ilvl w:val="0"/>
          <w:numId w:val="2"/>
        </w:numPr>
        <w:spacing w:after="40" w:before="40"/>
      </w:pPr>
      <w:r>
        <w:rPr>
          <w:rFonts w:ascii="Arial" w:cs="Arial" w:eastAsia="Arial" w:hAnsi="Arial"/>
          <w:b w:val="false"/>
          <w:bCs w:val="false"/>
          <w:color w:val="000000"/>
          <w:sz w:val="22"/>
          <w:szCs w:val="22"/>
        </w:rPr>
        <w:t xml:space="preserve">Both actively maintained and dormant (read-only or abandoned) databases.</w:t>
      </w:r>
    </w:p>
    <w:p>
      <w:pPr>
        <w:spacing w:after="0" w:before="80"/>
      </w:pPr>
      <w:r>
        <w:t xml:space="preserve"/>
      </w:r>
    </w:p>
    <w:p>
      <w:pPr>
        <w:spacing w:after="80" w:before="80"/>
      </w:pPr>
      <w:r>
        <w:rPr>
          <w:rFonts w:ascii="Arial" w:cs="Arial" w:eastAsia="Arial" w:hAnsi="Arial"/>
          <w:b w:val="false"/>
          <w:bCs w:val="false"/>
          <w:color w:val="000000"/>
          <w:sz w:val="22"/>
          <w:szCs w:val="22"/>
        </w:rPr>
        <w:t xml:space="preserve">It is explicitly not a framework for evaluating large central repositories (ClinVar, HGMD, gnomAD) that already conform to current standards. The target audience is database custodians, migration engineers, and bioinformaticians preparing a source database for transfer to a modern platform.</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Evaluation Framework Overview</w:t>
      </w:r>
    </w:p>
    <w:p>
      <w:pPr>
        <w:spacing w:after="80" w:before="80"/>
      </w:pPr>
      <w:r>
        <w:rPr>
          <w:rFonts w:ascii="Arial" w:cs="Arial" w:eastAsia="Arial" w:hAnsi="Arial"/>
          <w:b w:val="false"/>
          <w:bCs w:val="false"/>
          <w:color w:val="000000"/>
          <w:sz w:val="22"/>
          <w:szCs w:val="22"/>
        </w:rPr>
        <w:t xml:space="preserve">The framework comprises seven evaluation domains. Each domain is independently scored; the total score (100 points) determines a maturity tier, which maps to a recommended remediation and migration pathway.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rPr>
          <w:tblHeader/>
        </w:trPr>
        <w:tc>
          <w:tcPr>
            <w:tcW w:type="dxa" w:w="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c>
          <w:tcPr>
            <w:tcW w:type="dxa" w:w="3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Question</w:t>
            </w:r>
          </w:p>
        </w:tc>
      </w:tr>
      <w:tr>
        <w:tc>
          <w:tcPr>
            <w:tcW w:type="dxa" w:w="4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Integrity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 pts</w:t>
            </w:r>
          </w:p>
        </w:tc>
        <w:tc>
          <w:tcPr>
            <w:tcW w:type="dxa" w:w="37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the records complete, accurate, and free of critical inconsistencies?</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&amp; Data Structure Design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pts</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data model fit for purpose and technically sustainable?</w:t>
            </w:r>
          </w:p>
        </w:tc>
      </w:tr>
      <w:tr>
        <w:tc>
          <w:tcPr>
            <w:tcW w:type="dxa" w:w="4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Nomenclature &amp; Coordinate Standardisation</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 pts</w:t>
            </w:r>
          </w:p>
        </w:tc>
        <w:tc>
          <w:tcPr>
            <w:tcW w:type="dxa" w:w="37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variants described in a current, unambiguous, interoperable notation?</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Interoperability &amp; Technical Accessibility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pts</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data be programmatically retrieved and integrated with other resources?</w:t>
            </w:r>
          </w:p>
        </w:tc>
      </w:tr>
      <w:tr>
        <w:tc>
          <w:tcPr>
            <w:tcW w:type="dxa" w:w="4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Curation Quality &amp; Provenance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 pts</w:t>
            </w:r>
          </w:p>
        </w:tc>
        <w:tc>
          <w:tcPr>
            <w:tcW w:type="dxa" w:w="37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annotations traceable to a primary source with clear curation logic?</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&amp; Metadata Completeness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pts</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database itself documented to enable independent use and replication?</w:t>
            </w:r>
          </w:p>
        </w:tc>
      </w:tr>
      <w:tr>
        <w:tc>
          <w:tcPr>
            <w:tcW w:type="dxa" w:w="4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&amp; Operational Continuity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 pts</w:t>
            </w:r>
          </w:p>
        </w:tc>
        <w:tc>
          <w:tcPr>
            <w:tcW w:type="dxa" w:w="37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database actively maintained with a viable long-term custodianship plan?</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pts</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0" w:before="120"/>
      </w:pPr>
      <w:r>
        <w:t xml:space="preserve"/>
      </w:r>
    </w:p>
    <w:p>
      <w:pPr>
        <w:spacing w:after="80" w:before="80"/>
      </w:pPr>
      <w:r>
        <w:rPr>
          <w:rFonts w:ascii="Arial" w:cs="Arial" w:eastAsia="Arial" w:hAnsi="Arial"/>
          <w:b w:val="false"/>
          <w:bCs w:val="false"/>
          <w:color w:val="000000"/>
          <w:sz w:val="22"/>
          <w:szCs w:val="22"/>
        </w:rPr>
        <w:t xml:space="preserve">Each domain is assessed through a combination of automated checks (where data can be extracted programmatically) and manual review (where human judgement is required). The instrument is designed to be completed by a single evaluator in two to four hours for a database of up to ~10,000 records, given programmatic access to the underlying data files.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1: </w:t>
            </w:r>
            <w:r>
              <w:rPr>
                <w:rFonts w:ascii="Arial" w:cs="Arial" w:eastAsia="Arial" w:hAnsi="Arial"/>
                <w:b/>
                <w:bCs/>
                <w:color w:val="FFFFFF"/>
                <w:sz w:val="26"/>
                <w:szCs w:val="26"/>
              </w:rPr>
              <w:t xml:space="preserve">Data Integrity</w:t>
            </w:r>
          </w:p>
          <w:p>
            <w:pPr>
              <w:spacing w:after="0" w:before="20"/>
            </w:pPr>
            <w:r>
              <w:rPr>
                <w:rFonts w:ascii="Arial" w:cs="Arial" w:eastAsia="Arial" w:hAnsi="Arial"/>
                <w:color w:val="B0C8E0"/>
                <w:sz w:val="20"/>
                <w:szCs w:val="20"/>
              </w:rPr>
              <w:t xml:space="preserve">Completeness, accuracy, consistency, and deduplication of variant records</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Data integrity is the foundation of any migration effort. A database with high completeness but poor internal consistency is as problematic as one with extensive missing data. This domain examines four sub-dimensions.</w:t>
      </w:r>
    </w:p>
    <w:p>
      <w:pPr>
        <w:spacing w:after="0" w:before="80"/>
      </w:pPr>
      <w:r>
        <w:t xml:space="preserve"/>
      </w:r>
    </w:p>
    <w:p>
      <w:pPr>
        <w:pStyle w:val="Heading3"/>
        <w:spacing w:after="60" w:before="160"/>
      </w:pPr>
      <w:r>
        <w:rPr>
          <w:rFonts w:ascii="Arial" w:cs="Arial" w:eastAsia="Arial" w:hAnsi="Arial"/>
          <w:b/>
          <w:bCs/>
          <w:color w:val="1F4E79"/>
          <w:sz w:val="22"/>
          <w:szCs w:val="22"/>
        </w:rPr>
        <w:t xml:space="preserve">1.1  Record Completeness</w:t>
      </w:r>
    </w:p>
    <w:p>
      <w:pPr>
        <w:spacing w:after="80" w:before="80"/>
      </w:pPr>
      <w:r>
        <w:rPr>
          <w:rFonts w:ascii="Arial" w:cs="Arial" w:eastAsia="Arial" w:hAnsi="Arial"/>
          <w:b w:val="false"/>
          <w:bCs w:val="false"/>
          <w:color w:val="000000"/>
          <w:sz w:val="22"/>
          <w:szCs w:val="22"/>
        </w:rPr>
        <w:t xml:space="preserve">Completeness is assessed at two levels: field-level (are mandatory fields populated for every record?) and record-level (are all expected records present?). Mandatory fields for a variant database minimally include: a unique accession, a variant description (systematic name or HGVS), a reference sequence identifier, and a genomic or cDNA position.</w:t>
      </w:r>
    </w:p>
    <w:p>
      <w:pPr>
        <w:pStyle w:val="ListParagraph"/>
        <w:numPr>
          <w:ilvl w:val="0"/>
          <w:numId w:val="2"/>
        </w:numPr>
        <w:spacing w:after="40" w:before="40"/>
      </w:pPr>
      <w:r>
        <w:rPr>
          <w:rFonts w:ascii="Arial" w:cs="Arial" w:eastAsia="Arial" w:hAnsi="Arial"/>
          <w:b w:val="false"/>
          <w:bCs w:val="false"/>
          <w:color w:val="000000"/>
          <w:sz w:val="22"/>
          <w:szCs w:val="22"/>
        </w:rPr>
        <w:t xml:space="preserve">Check the proportion of records with a parseable systematic name (HGVS-like notation).</w:t>
      </w:r>
    </w:p>
    <w:p>
      <w:pPr>
        <w:pStyle w:val="ListParagraph"/>
        <w:numPr>
          <w:ilvl w:val="0"/>
          <w:numId w:val="2"/>
        </w:numPr>
        <w:spacing w:after="40" w:before="40"/>
      </w:pPr>
      <w:r>
        <w:rPr>
          <w:rFonts w:ascii="Arial" w:cs="Arial" w:eastAsia="Arial" w:hAnsi="Arial"/>
          <w:b w:val="false"/>
          <w:bCs w:val="false"/>
          <w:color w:val="000000"/>
          <w:sz w:val="22"/>
          <w:szCs w:val="22"/>
        </w:rPr>
        <w:t xml:space="preserve">Check the proportion with a valid, non-null position (start coordinate).</w:t>
      </w:r>
    </w:p>
    <w:p>
      <w:pPr>
        <w:pStyle w:val="ListParagraph"/>
        <w:numPr>
          <w:ilvl w:val="0"/>
          <w:numId w:val="2"/>
        </w:numPr>
        <w:spacing w:after="40" w:before="40"/>
      </w:pPr>
      <w:r>
        <w:rPr>
          <w:rFonts w:ascii="Arial" w:cs="Arial" w:eastAsia="Arial" w:hAnsi="Arial"/>
          <w:b w:val="false"/>
          <w:bCs w:val="false"/>
          <w:color w:val="000000"/>
          <w:sz w:val="22"/>
          <w:szCs w:val="22"/>
        </w:rPr>
        <w:t xml:space="preserve">Check for records where only a protein-level change is recorded with no DNA-level counterpart.</w:t>
      </w:r>
    </w:p>
    <w:p>
      <w:pPr>
        <w:pStyle w:val="ListParagraph"/>
        <w:numPr>
          <w:ilvl w:val="0"/>
          <w:numId w:val="2"/>
        </w:numPr>
        <w:spacing w:after="40" w:before="40"/>
      </w:pPr>
      <w:r>
        <w:rPr>
          <w:rFonts w:ascii="Arial" w:cs="Arial" w:eastAsia="Arial" w:hAnsi="Arial"/>
          <w:b w:val="false"/>
          <w:bCs w:val="false"/>
          <w:color w:val="000000"/>
          <w:sz w:val="22"/>
          <w:szCs w:val="22"/>
        </w:rPr>
        <w:t xml:space="preserve">Flag entries with truncated or placeholder systematic names (e.g., entries consisting of only 'g.', 'c.', 'r.' — a pattern found in 6 ELA2 and FOXP3 entries in IDbases, where the full mutation sequence was stored in the Feature /change field rather than the name field).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FFF2CC" w:val="clear"/>
            <w:tcMar>
              <w:top w:type="dxa" w:w="100"/>
              <w:left w:type="dxa" w:w="160"/>
              <w:bottom w:type="dxa" w:w="100"/>
              <w:right w:type="dxa" w:w="160"/>
            </w:tcMar>
          </w:tcPr>
          <w:p>
            <w:pPr>
              <w:spacing w:after="0" w:before="0"/>
            </w:pPr>
            <w:r>
              <w:rPr>
                <w:rFonts w:ascii="Arial" w:cs="Arial" w:eastAsia="Arial" w:hAnsi="Arial"/>
                <w:b/>
                <w:bCs/>
                <w:color w:val="E08000"/>
                <w:sz w:val="20"/>
                <w:szCs w:val="20"/>
              </w:rPr>
              <w:t xml:space="preserve">IDbases observation. </w:t>
            </w:r>
            <w:r>
              <w:rPr>
                <w:rFonts w:ascii="Arial" w:cs="Arial" w:eastAsia="Arial" w:hAnsi="Arial"/>
                <w:color w:val="000000"/>
                <w:sz w:val="20"/>
                <w:szCs w:val="20"/>
              </w:rPr>
              <w:t xml:space="preserve">Of 7,341 extracted records, 59 had incomplete substitution sysnames (ending in '&gt;' with no target nucleotide) and 6 had long-sequence placeholders. These 65 records were excluded from the clean set and require manual recovery before migration.</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1.2  Internal Consistency</w:t>
      </w:r>
    </w:p>
    <w:p>
      <w:pPr>
        <w:spacing w:after="80" w:before="80"/>
      </w:pPr>
      <w:r>
        <w:rPr>
          <w:rFonts w:ascii="Arial" w:cs="Arial" w:eastAsia="Arial" w:hAnsi="Arial"/>
          <w:b w:val="false"/>
          <w:bCs w:val="false"/>
          <w:color w:val="000000"/>
          <w:sz w:val="22"/>
          <w:szCs w:val="22"/>
        </w:rPr>
        <w:t xml:space="preserve">Consistency checks identify records that contradict other entries or violate the expected data model logic. Key checks include:</w:t>
      </w:r>
    </w:p>
    <w:p>
      <w:pPr>
        <w:pStyle w:val="ListParagraph"/>
        <w:numPr>
          <w:ilvl w:val="0"/>
          <w:numId w:val="2"/>
        </w:numPr>
        <w:spacing w:after="40" w:before="40"/>
      </w:pPr>
      <w:r>
        <w:rPr>
          <w:rFonts w:ascii="Arial" w:cs="Arial" w:eastAsia="Arial" w:hAnsi="Arial"/>
          <w:b w:val="false"/>
          <w:bCs w:val="false"/>
          <w:color w:val="000000"/>
          <w:sz w:val="22"/>
          <w:szCs w:val="22"/>
        </w:rPr>
        <w:t xml:space="preserve">Allele-level consistency: does the recorded number of alleles match the count of position entries for that accession?</w:t>
      </w:r>
    </w:p>
    <w:p>
      <w:pPr>
        <w:pStyle w:val="ListParagraph"/>
        <w:numPr>
          <w:ilvl w:val="0"/>
          <w:numId w:val="2"/>
        </w:numPr>
        <w:spacing w:after="40" w:before="40"/>
      </w:pPr>
      <w:r>
        <w:rPr>
          <w:rFonts w:ascii="Arial" w:cs="Arial" w:eastAsia="Arial" w:hAnsi="Arial"/>
          <w:b w:val="false"/>
          <w:bCs w:val="false"/>
          <w:color w:val="000000"/>
          <w:sz w:val="22"/>
          <w:szCs w:val="22"/>
        </w:rPr>
        <w:t xml:space="preserve">Multi-allele sysname encoding: are compound heterozygous entries correctly split, or are they concatenated in a single field in an ambiguous way? (In IDbases, 2,820 records encode multiple alleles in a single sysname string; 14 of these are ambiguous and require manual review.)</w:t>
      </w:r>
    </w:p>
    <w:p>
      <w:pPr>
        <w:pStyle w:val="ListParagraph"/>
        <w:numPr>
          <w:ilvl w:val="0"/>
          <w:numId w:val="2"/>
        </w:numPr>
        <w:spacing w:after="40" w:before="40"/>
      </w:pPr>
      <w:r>
        <w:rPr>
          <w:rFonts w:ascii="Arial" w:cs="Arial" w:eastAsia="Arial" w:hAnsi="Arial"/>
          <w:b w:val="false"/>
          <w:bCs w:val="false"/>
          <w:color w:val="000000"/>
          <w:sz w:val="22"/>
          <w:szCs w:val="22"/>
        </w:rPr>
        <w:t xml:space="preserve">Cross-field consistency: does the variant type field (point/deletion/insertion) agree with the systematic name? A deletion sysname paired with a substitution type field is a red flag.</w:t>
      </w:r>
    </w:p>
    <w:p>
      <w:pPr>
        <w:pStyle w:val="ListParagraph"/>
        <w:numPr>
          <w:ilvl w:val="0"/>
          <w:numId w:val="2"/>
        </w:numPr>
        <w:spacing w:after="40" w:before="40"/>
      </w:pPr>
      <w:r>
        <w:rPr>
          <w:rFonts w:ascii="Arial" w:cs="Arial" w:eastAsia="Arial" w:hAnsi="Arial"/>
          <w:b w:val="false"/>
          <w:bCs w:val="false"/>
          <w:color w:val="000000"/>
          <w:sz w:val="22"/>
          <w:szCs w:val="22"/>
        </w:rPr>
        <w:t xml:space="preserve">Coordinate range check: is pos_end &gt;= pos_start for every record? Are positions within the boundaries of the reference sequence?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FFF2CC" w:val="clear"/>
            <w:tcMar>
              <w:top w:type="dxa" w:w="100"/>
              <w:left w:type="dxa" w:w="160"/>
              <w:bottom w:type="dxa" w:w="100"/>
              <w:right w:type="dxa" w:w="160"/>
            </w:tcMar>
          </w:tcPr>
          <w:p>
            <w:pPr>
              <w:spacing w:after="0" w:before="0"/>
            </w:pPr>
            <w:r>
              <w:rPr>
                <w:rFonts w:ascii="Arial" w:cs="Arial" w:eastAsia="Arial" w:hAnsi="Arial"/>
                <w:b/>
                <w:bCs/>
                <w:color w:val="E08000"/>
                <w:sz w:val="20"/>
                <w:szCs w:val="20"/>
              </w:rPr>
              <w:t xml:space="preserve">IDbases observation. </w:t>
            </w:r>
            <w:r>
              <w:rPr>
                <w:rFonts w:ascii="Arial" w:cs="Arial" w:eastAsia="Arial" w:hAnsi="Arial"/>
                <w:color w:val="000000"/>
                <w:sz w:val="20"/>
                <w:szCs w:val="20"/>
              </w:rPr>
              <w:t xml:space="preserve">Five genes (ZAP70, STX11, UNC13D, ADA, NP) have variant positions that exceed the qend of their BLAST alignment by up to 8,059 positions. Some of these may be legitimate large deletions extending beyond the query region; all require manual verification.</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1.3  Deduplication</w:t>
      </w:r>
    </w:p>
    <w:p>
      <w:pPr>
        <w:spacing w:after="80" w:before="80"/>
      </w:pPr>
      <w:r>
        <w:rPr>
          <w:rFonts w:ascii="Arial" w:cs="Arial" w:eastAsia="Arial" w:hAnsi="Arial"/>
          <w:b w:val="false"/>
          <w:bCs w:val="false"/>
          <w:color w:val="000000"/>
          <w:sz w:val="22"/>
          <w:szCs w:val="22"/>
        </w:rPr>
        <w:t xml:space="preserve">Deduplication must be assessed at two distinct levels, which have different implications for migration:</w:t>
      </w:r>
    </w:p>
    <w:p>
      <w:pPr>
        <w:pStyle w:val="ListParagraph"/>
        <w:numPr>
          <w:ilvl w:val="0"/>
          <w:numId w:val="2"/>
        </w:numPr>
        <w:spacing w:after="40" w:before="40"/>
      </w:pPr>
      <w:r>
        <w:rPr>
          <w:rFonts w:ascii="Arial" w:cs="Arial" w:eastAsia="Arial" w:hAnsi="Arial"/>
          <w:b w:val="false"/>
          <w:bCs w:val="false"/>
          <w:color w:val="000000"/>
          <w:sz w:val="22"/>
          <w:szCs w:val="22"/>
        </w:rPr>
        <w:t xml:space="preserve">Position-level deduplication: multiple patient records sharing the same variant at the same genomic position are biologically expected and must be preserved as separate patient entries in the target platform.</w:t>
      </w:r>
    </w:p>
    <w:p>
      <w:pPr>
        <w:pStyle w:val="ListParagraph"/>
        <w:numPr>
          <w:ilvl w:val="0"/>
          <w:numId w:val="2"/>
        </w:numPr>
        <w:spacing w:after="40" w:before="40"/>
      </w:pPr>
      <w:r>
        <w:rPr>
          <w:rFonts w:ascii="Arial" w:cs="Arial" w:eastAsia="Arial" w:hAnsi="Arial"/>
          <w:b w:val="false"/>
          <w:bCs w:val="false"/>
          <w:color w:val="000000"/>
          <w:sz w:val="22"/>
          <w:szCs w:val="22"/>
        </w:rPr>
        <w:t xml:space="preserve">True duplicate records: identical (accession, allele, position) tuples arising from import errors or re-scraping artefacts must be removed.</w:t>
      </w:r>
    </w:p>
    <w:p>
      <w:pPr>
        <w:spacing w:after="80" w:before="80"/>
      </w:pPr>
      <w:r>
        <w:rPr>
          <w:rFonts w:ascii="Arial" w:cs="Arial" w:eastAsia="Arial" w:hAnsi="Arial"/>
          <w:b w:val="false"/>
          <w:bCs w:val="false"/>
          <w:color w:val="000000"/>
          <w:sz w:val="22"/>
          <w:szCs w:val="22"/>
        </w:rPr>
        <w:t xml:space="preserve">The distinction is critical. Collapsing patient-level duplicates into a single de-duplicated VCF entry (as done in Steps 5a–5c of the IDbases pipeline for coordinate mapping purposes) is a valid intermediate step, but the full patient-record set must be re-linked before the final platform import.</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1.4  Curation Error Detection</w:t>
      </w:r>
    </w:p>
    <w:p>
      <w:pPr>
        <w:spacing w:after="80" w:before="80"/>
      </w:pPr>
      <w:r>
        <w:rPr>
          <w:rFonts w:ascii="Arial" w:cs="Arial" w:eastAsia="Arial" w:hAnsi="Arial"/>
          <w:b w:val="false"/>
          <w:bCs w:val="false"/>
          <w:color w:val="000000"/>
          <w:sz w:val="22"/>
          <w:szCs w:val="22"/>
        </w:rPr>
        <w:t xml:space="preserve">Beyond systematic data quality issues, individual curation errors must be identified. These are typically file-level or entry-level mistakes introduced manually:</w:t>
      </w:r>
    </w:p>
    <w:p>
      <w:pPr>
        <w:pStyle w:val="ListParagraph"/>
        <w:numPr>
          <w:ilvl w:val="0"/>
          <w:numId w:val="2"/>
        </w:numPr>
        <w:spacing w:after="40" w:before="40"/>
      </w:pPr>
      <w:r>
        <w:rPr>
          <w:rFonts w:ascii="Arial" w:cs="Arial" w:eastAsia="Arial" w:hAnsi="Arial"/>
          <w:b w:val="false"/>
          <w:bCs w:val="false"/>
          <w:color w:val="000000"/>
          <w:sz w:val="22"/>
          <w:szCs w:val="22"/>
        </w:rPr>
        <w:t xml:space="preserve">Reference sequence file mismatches: the DNA file for gene X actually contains the sequence for gene Y (e.g., the STAT2 DNA file in IDbases contains the STAT5B sequence; the C8B file contains the TAPBP sequence).</w:t>
      </w:r>
    </w:p>
    <w:p>
      <w:pPr>
        <w:pStyle w:val="ListParagraph"/>
        <w:numPr>
          <w:ilvl w:val="0"/>
          <w:numId w:val="2"/>
        </w:numPr>
        <w:spacing w:after="40" w:before="40"/>
      </w:pPr>
      <w:r>
        <w:rPr>
          <w:rFonts w:ascii="Arial" w:cs="Arial" w:eastAsia="Arial" w:hAnsi="Arial"/>
          <w:b w:val="false"/>
          <w:bCs w:val="false"/>
          <w:color w:val="000000"/>
          <w:sz w:val="22"/>
          <w:szCs w:val="22"/>
        </w:rPr>
        <w:t xml:space="preserve">Gene symbol discrepancies: the folder name, the file name, and the symbol used in external databases disagree (e.g., NP vs PNP, SLC35B1 vs FUCT1 in IDbases).</w:t>
      </w:r>
    </w:p>
    <w:p>
      <w:pPr>
        <w:pStyle w:val="ListParagraph"/>
        <w:numPr>
          <w:ilvl w:val="0"/>
          <w:numId w:val="2"/>
        </w:numPr>
        <w:spacing w:after="40" w:before="40"/>
      </w:pPr>
      <w:r>
        <w:rPr>
          <w:rFonts w:ascii="Arial" w:cs="Arial" w:eastAsia="Arial" w:hAnsi="Arial"/>
          <w:b w:val="false"/>
          <w:bCs w:val="false"/>
          <w:color w:val="000000"/>
          <w:sz w:val="22"/>
          <w:szCs w:val="22"/>
        </w:rPr>
        <w:t xml:space="preserve">Non-standard variant numbering formats specific to a subset of genes (e.g., the complement component genes C1QA, C1S, C2, C3, C5, C6, C7, C8B, C9 in IDbases use a position-at-start-of-line format that differs from all other genes).</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1.5  Domain 1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18–20</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&gt;95% records complete; no critical consistency violations; deduplication policy documented and applied; no untreated curation errors.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13–17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90–95% complete; minor consistency issues present but quantified; deduplication handled; isolated curation errors identified and flagged.</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80–90% complete; notable consistency gaps or ambiguous multi-allele encoding; deduplication policy unclear; some curation errors unresolved.</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0–7</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&lt;80% complete; systemic consistency failures; no deduplication; multiple undetected curation errors.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2: </w:t>
            </w:r>
            <w:r>
              <w:rPr>
                <w:rFonts w:ascii="Arial" w:cs="Arial" w:eastAsia="Arial" w:hAnsi="Arial"/>
                <w:b/>
                <w:bCs/>
                <w:color w:val="FFFFFF"/>
                <w:sz w:val="26"/>
                <w:szCs w:val="26"/>
              </w:rPr>
              <w:t xml:space="preserve">System &amp; Data Structure Design</w:t>
            </w:r>
          </w:p>
          <w:p>
            <w:pPr>
              <w:spacing w:after="0" w:before="20"/>
            </w:pPr>
            <w:r>
              <w:rPr>
                <w:rFonts w:ascii="Arial" w:cs="Arial" w:eastAsia="Arial" w:hAnsi="Arial"/>
                <w:color w:val="B0C8E0"/>
                <w:sz w:val="20"/>
                <w:szCs w:val="20"/>
              </w:rPr>
              <w:t xml:space="preserve">Data model, schema design, technical sustainability, and field standardisation</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The data structure of a legacy database shapes every downstream step in the migration pipeline. A well-designed schema — even one built decades ago — accelerates migration; a poorly normalised one multiplies manual intervention.</w:t>
      </w:r>
    </w:p>
    <w:p>
      <w:pPr>
        <w:spacing w:after="0" w:before="80"/>
      </w:pPr>
      <w:r>
        <w:t xml:space="preserve"/>
      </w:r>
    </w:p>
    <w:p>
      <w:pPr>
        <w:pStyle w:val="Heading3"/>
        <w:spacing w:after="60" w:before="160"/>
      </w:pPr>
      <w:r>
        <w:rPr>
          <w:rFonts w:ascii="Arial" w:cs="Arial" w:eastAsia="Arial" w:hAnsi="Arial"/>
          <w:b/>
          <w:bCs/>
          <w:color w:val="1F4E79"/>
          <w:sz w:val="22"/>
          <w:szCs w:val="22"/>
        </w:rPr>
        <w:t xml:space="preserve">2.1  Data Model Assessment</w:t>
      </w:r>
    </w:p>
    <w:p>
      <w:pPr>
        <w:spacing w:after="80" w:before="80"/>
      </w:pPr>
      <w:r>
        <w:rPr>
          <w:rFonts w:ascii="Arial" w:cs="Arial" w:eastAsia="Arial" w:hAnsi="Arial"/>
          <w:b w:val="false"/>
          <w:bCs w:val="false"/>
          <w:color w:val="000000"/>
          <w:sz w:val="22"/>
          <w:szCs w:val="22"/>
        </w:rPr>
        <w:t xml:space="preserve">Evaluate whether the database employs a coherent data model. The minimum expected structure for a variant database is a three-entity model: Gene, Patient/Individual, and Variant, with explicit relationships between them. Assess: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unique primary key for every variant record and every patient record?</w:t>
      </w:r>
    </w:p>
    <w:p>
      <w:pPr>
        <w:pStyle w:val="ListParagraph"/>
        <w:numPr>
          <w:ilvl w:val="0"/>
          <w:numId w:val="2"/>
        </w:numPr>
        <w:spacing w:after="40" w:before="40"/>
      </w:pPr>
      <w:r>
        <w:rPr>
          <w:rFonts w:ascii="Arial" w:cs="Arial" w:eastAsia="Arial" w:hAnsi="Arial"/>
          <w:b w:val="false"/>
          <w:bCs w:val="false"/>
          <w:color w:val="000000"/>
          <w:sz w:val="22"/>
          <w:szCs w:val="22"/>
        </w:rPr>
        <w:t xml:space="preserve">Are relationships between patients and variants encoded explicitly (foreign keys or equivalent), or are they implied by co-occurrence in a flat file?</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database relational (SQL), document-based, flat-file, or embedded in HTML/static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EBF3FB"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IDbases observation. </w:t>
            </w:r>
            <w:r>
              <w:rPr>
                <w:rFonts w:ascii="Arial" w:cs="Arial" w:eastAsia="Arial" w:hAnsi="Arial"/>
                <w:color w:val="000000"/>
                <w:sz w:val="20"/>
                <w:szCs w:val="20"/>
              </w:rPr>
              <w:t xml:space="preserve">IDbases is a flat-file HTML system with no relational database or API. Patient records and variant records co-exist within a single *pub.html file per gene, parsed via string matching against a structured plain-text format embedded in HTML. While internally consistent, this design means that all data extraction requires custom HTML parsers and that any structural query (e.g., 'all patients with variants in exon 3') requires post-processing rather than a native query.</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2.2  Field Standardisation</w:t>
      </w:r>
    </w:p>
    <w:p>
      <w:pPr>
        <w:spacing w:after="80" w:before="80"/>
      </w:pPr>
      <w:r>
        <w:rPr>
          <w:rFonts w:ascii="Arial" w:cs="Arial" w:eastAsia="Arial" w:hAnsi="Arial"/>
          <w:b w:val="false"/>
          <w:bCs w:val="false"/>
          <w:color w:val="000000"/>
          <w:sz w:val="22"/>
          <w:szCs w:val="22"/>
        </w:rPr>
        <w:t xml:space="preserve">Assess the degree to which field definitions and controlled vocabularies are applied consistently across the database. Key questions:</w:t>
      </w:r>
    </w:p>
    <w:p>
      <w:pPr>
        <w:pStyle w:val="ListParagraph"/>
        <w:numPr>
          <w:ilvl w:val="0"/>
          <w:numId w:val="2"/>
        </w:numPr>
        <w:spacing w:after="40" w:before="40"/>
      </w:pPr>
      <w:r>
        <w:rPr>
          <w:rFonts w:ascii="Arial" w:cs="Arial" w:eastAsia="Arial" w:hAnsi="Arial"/>
          <w:b w:val="false"/>
          <w:bCs w:val="false"/>
          <w:color w:val="000000"/>
          <w:sz w:val="22"/>
          <w:szCs w:val="22"/>
        </w:rPr>
        <w:t xml:space="preserve">Are field names and semantics documented in a data dictionary?</w:t>
      </w:r>
    </w:p>
    <w:p>
      <w:pPr>
        <w:pStyle w:val="ListParagraph"/>
        <w:numPr>
          <w:ilvl w:val="0"/>
          <w:numId w:val="2"/>
        </w:numPr>
        <w:spacing w:after="40" w:before="40"/>
      </w:pPr>
      <w:r>
        <w:rPr>
          <w:rFonts w:ascii="Arial" w:cs="Arial" w:eastAsia="Arial" w:hAnsi="Arial"/>
          <w:b w:val="false"/>
          <w:bCs w:val="false"/>
          <w:color w:val="000000"/>
          <w:sz w:val="22"/>
          <w:szCs w:val="22"/>
        </w:rPr>
        <w:t xml:space="preserve">Are controlled vocabularies used for categorical fields (e.g., variant type: point/deletion/insertion)? Are these vocabularies exhaustive and unambiguous?</w:t>
      </w:r>
    </w:p>
    <w:p>
      <w:pPr>
        <w:pStyle w:val="ListParagraph"/>
        <w:numPr>
          <w:ilvl w:val="0"/>
          <w:numId w:val="2"/>
        </w:numPr>
        <w:spacing w:after="40" w:before="40"/>
      </w:pPr>
      <w:r>
        <w:rPr>
          <w:rFonts w:ascii="Arial" w:cs="Arial" w:eastAsia="Arial" w:hAnsi="Arial"/>
          <w:b w:val="false"/>
          <w:bCs w:val="false"/>
          <w:color w:val="000000"/>
          <w:sz w:val="22"/>
          <w:szCs w:val="22"/>
        </w:rPr>
        <w:t xml:space="preserve">Are text fields free-form or structured? Free-form fields (particularly systematic name / HGVS fields in early databases) introduce parseing complexity.</w:t>
      </w:r>
    </w:p>
    <w:p>
      <w:pPr>
        <w:pStyle w:val="ListParagraph"/>
        <w:numPr>
          <w:ilvl w:val="0"/>
          <w:numId w:val="2"/>
        </w:numPr>
        <w:spacing w:after="40" w:before="40"/>
      </w:pPr>
      <w:r>
        <w:rPr>
          <w:rFonts w:ascii="Arial" w:cs="Arial" w:eastAsia="Arial" w:hAnsi="Arial"/>
          <w:b w:val="false"/>
          <w:bCs w:val="false"/>
          <w:color w:val="000000"/>
          <w:sz w:val="22"/>
          <w:szCs w:val="22"/>
        </w:rPr>
        <w:t xml:space="preserve">Are allele numbers encoded as integers, strings, or embedded in the sysname field?</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2.3  Reference Sequence Architecture</w:t>
      </w:r>
    </w:p>
    <w:p>
      <w:pPr>
        <w:spacing w:after="80" w:before="80"/>
      </w:pPr>
      <w:r>
        <w:rPr>
          <w:rFonts w:ascii="Arial" w:cs="Arial" w:eastAsia="Arial" w:hAnsi="Arial"/>
          <w:b w:val="false"/>
          <w:bCs w:val="false"/>
          <w:color w:val="000000"/>
          <w:sz w:val="22"/>
          <w:szCs w:val="22"/>
        </w:rPr>
        <w:t xml:space="preserve">A core structural question is how the database anchors variant positions. Three levels of complexity arise:</w:t>
      </w:r>
    </w:p>
    <w:p>
      <w:pPr>
        <w:pStyle w:val="ListParagraph"/>
        <w:numPr>
          <w:ilvl w:val="0"/>
          <w:numId w:val="2"/>
        </w:numPr>
        <w:spacing w:after="40" w:before="40"/>
      </w:pPr>
      <w:r>
        <w:rPr>
          <w:rFonts w:ascii="Arial" w:cs="Arial" w:eastAsia="Arial" w:hAnsi="Arial"/>
          <w:b w:val="false"/>
          <w:bCs w:val="false"/>
          <w:color w:val="000000"/>
          <w:sz w:val="22"/>
          <w:szCs w:val="22"/>
        </w:rPr>
        <w:t xml:space="preserve">Gene-local coordinates: variants are described relative to a gene-specific reference sequence (the IDRefSeq system in IDbases), without an explicit mapping to a chromosome or genome assembly. This was common in early LSDBs.</w:t>
      </w:r>
    </w:p>
    <w:p>
      <w:pPr>
        <w:pStyle w:val="ListParagraph"/>
        <w:numPr>
          <w:ilvl w:val="0"/>
          <w:numId w:val="2"/>
        </w:numPr>
        <w:spacing w:after="40" w:before="40"/>
      </w:pPr>
      <w:r>
        <w:rPr>
          <w:rFonts w:ascii="Arial" w:cs="Arial" w:eastAsia="Arial" w:hAnsi="Arial"/>
          <w:b w:val="false"/>
          <w:bCs w:val="false"/>
          <w:color w:val="000000"/>
          <w:sz w:val="22"/>
          <w:szCs w:val="22"/>
        </w:rPr>
        <w:t xml:space="preserve">Transcript-relative coordinates (cDNA / HGVS c.): variants are described relative to a coding sequence, which requires knowledge of the transcript accession and version.</w:t>
      </w:r>
    </w:p>
    <w:p>
      <w:pPr>
        <w:pStyle w:val="ListParagraph"/>
        <w:numPr>
          <w:ilvl w:val="0"/>
          <w:numId w:val="2"/>
        </w:numPr>
        <w:spacing w:after="40" w:before="40"/>
      </w:pPr>
      <w:r>
        <w:rPr>
          <w:rFonts w:ascii="Arial" w:cs="Arial" w:eastAsia="Arial" w:hAnsi="Arial"/>
          <w:b w:val="false"/>
          <w:bCs w:val="false"/>
          <w:color w:val="000000"/>
          <w:sz w:val="22"/>
          <w:szCs w:val="22"/>
        </w:rPr>
        <w:t xml:space="preserve">Genome-absolute coordinates (HGVS g., VCF): variants are anchored to a chromosome and genome build. This is the modern standard.</w:t>
      </w:r>
    </w:p>
    <w:p>
      <w:pPr>
        <w:spacing w:after="80" w:before="80"/>
      </w:pPr>
      <w:r>
        <w:rPr>
          <w:rFonts w:ascii="Arial" w:cs="Arial" w:eastAsia="Arial" w:hAnsi="Arial"/>
          <w:b w:val="false"/>
          <w:bCs w:val="false"/>
          <w:color w:val="000000"/>
          <w:sz w:val="22"/>
          <w:szCs w:val="22"/>
        </w:rPr>
        <w:t xml:space="preserve">Databases that use gene-local coordinates (Level 1) require a BLAST-based or alignment-based remapping step to reach Level 3. This step is non-trivial: it requires the original reference sequence to still be available, and the genome build at the time of curation must be inferred (often from the sequence itself or from the hosting institution's records).</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2.4  Technical Platform Sustainability</w:t>
      </w:r>
    </w:p>
    <w:p>
      <w:pPr>
        <w:spacing w:after="80" w:before="80"/>
      </w:pPr>
      <w:r>
        <w:rPr>
          <w:rFonts w:ascii="Arial" w:cs="Arial" w:eastAsia="Arial" w:hAnsi="Arial"/>
          <w:b w:val="false"/>
          <w:bCs w:val="false"/>
          <w:color w:val="000000"/>
          <w:sz w:val="22"/>
          <w:szCs w:val="22"/>
        </w:rPr>
        <w:t xml:space="preserve">Evaluate the longevity of the platform and its dependency chain:</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platform still actively maintained by its developer? (The MUTbase platform, underlying IDbases, was last actively developed in the early 2000s.)</w:t>
      </w:r>
    </w:p>
    <w:p>
      <w:pPr>
        <w:pStyle w:val="ListParagraph"/>
        <w:numPr>
          <w:ilvl w:val="0"/>
          <w:numId w:val="2"/>
        </w:numPr>
        <w:spacing w:after="40" w:before="40"/>
      </w:pPr>
      <w:r>
        <w:rPr>
          <w:rFonts w:ascii="Arial" w:cs="Arial" w:eastAsia="Arial" w:hAnsi="Arial"/>
          <w:b w:val="false"/>
          <w:bCs w:val="false"/>
          <w:color w:val="000000"/>
          <w:sz w:val="22"/>
          <w:szCs w:val="22"/>
        </w:rPr>
        <w:t xml:space="preserve">Are there known security vulnerabilities in the platform or its dependencies?</w:t>
      </w:r>
    </w:p>
    <w:p>
      <w:pPr>
        <w:pStyle w:val="ListParagraph"/>
        <w:numPr>
          <w:ilvl w:val="0"/>
          <w:numId w:val="2"/>
        </w:numPr>
        <w:spacing w:after="40" w:before="40"/>
      </w:pPr>
      <w:r>
        <w:rPr>
          <w:rFonts w:ascii="Arial" w:cs="Arial" w:eastAsia="Arial" w:hAnsi="Arial"/>
          <w:b w:val="false"/>
          <w:bCs w:val="false"/>
          <w:color w:val="000000"/>
          <w:sz w:val="22"/>
          <w:szCs w:val="22"/>
        </w:rPr>
        <w:t xml:space="preserve">Can the database be exported in a machine-readable format without modifying the source system?</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database hosted on institutional infrastructure with a clear succession plan, or on a personal server?</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2.5  Domain 2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18–20</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Relational or document model with explicit entity relationships; full data dictionary; genome-absolute coordinates; actively maintained platform or clean export path.</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13–17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Semi-structured model with recoverable relationships; partial data dictionary; transcript-relative coordinates; exportable with scripting.</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Flat-file or HTML-embedded structure; relationships implicit; gene-local coordinates requiring BLAST remapping; platform outdated but stable.</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0–7</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No coherent model; fields undefined or undocumented; coordinates unresolvable; platform inoperative or data inaccessible.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3: </w:t>
            </w:r>
            <w:r>
              <w:rPr>
                <w:rFonts w:ascii="Arial" w:cs="Arial" w:eastAsia="Arial" w:hAnsi="Arial"/>
                <w:b/>
                <w:bCs/>
                <w:color w:val="FFFFFF"/>
                <w:sz w:val="26"/>
                <w:szCs w:val="26"/>
              </w:rPr>
              <w:t xml:space="preserve">Nomenclature &amp; Coordinate Standardisation</w:t>
            </w:r>
          </w:p>
          <w:p>
            <w:pPr>
              <w:spacing w:after="0" w:before="20"/>
            </w:pPr>
            <w:r>
              <w:rPr>
                <w:rFonts w:ascii="Arial" w:cs="Arial" w:eastAsia="Arial" w:hAnsi="Arial"/>
                <w:color w:val="B0C8E0"/>
                <w:sz w:val="20"/>
                <w:szCs w:val="20"/>
              </w:rPr>
              <w:t xml:space="preserve">HGVS compliance, reference genome currency, and variant type coverage</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Nomenclature and coordinate standardisation are arguably the most labour-intensive aspects of any legacy database migration. Variants described in idiosyncratic notation or anchored to obsolete genome assemblies must be systematically remapped before they can be imported into modern platforms or cross-referenced with ClinVar, Ensembl, or gnomAD.</w:t>
      </w:r>
    </w:p>
    <w:p>
      <w:pPr>
        <w:spacing w:after="0" w:before="80"/>
      </w:pPr>
      <w:r>
        <w:t xml:space="preserve"/>
      </w:r>
    </w:p>
    <w:p>
      <w:pPr>
        <w:pStyle w:val="Heading3"/>
        <w:spacing w:after="60" w:before="160"/>
      </w:pPr>
      <w:r>
        <w:rPr>
          <w:rFonts w:ascii="Arial" w:cs="Arial" w:eastAsia="Arial" w:hAnsi="Arial"/>
          <w:b/>
          <w:bCs/>
          <w:color w:val="1F4E79"/>
          <w:sz w:val="22"/>
          <w:szCs w:val="22"/>
        </w:rPr>
        <w:t xml:space="preserve">3.1  Reference Genome Build Currency</w:t>
      </w:r>
    </w:p>
    <w:p>
      <w:pPr>
        <w:spacing w:after="80" w:before="80"/>
      </w:pPr>
      <w:r>
        <w:rPr>
          <w:rFonts w:ascii="Arial" w:cs="Arial" w:eastAsia="Arial" w:hAnsi="Arial"/>
          <w:b w:val="false"/>
          <w:bCs w:val="false"/>
          <w:color w:val="000000"/>
          <w:sz w:val="22"/>
          <w:szCs w:val="22"/>
        </w:rPr>
        <w:t xml:space="preserve">The first question is: what genome assembly were variant coordinates originally assigned against? For databases created before 2009, coordinates typically reference hg16 (NCBI Build 34), hg17 (Build 35), or hg18 (Build 36). Since then, the field has consolidated on GRCh38 (hg38) as the standard. Coordinate shifts between hg16 and GRCh38 can be substantial (e.g., the ADA locus on chromosome 20 shifts by approximately 685 kilobases).</w:t>
      </w:r>
    </w:p>
    <w:p>
      <w:pPr>
        <w:pStyle w:val="ListParagraph"/>
        <w:numPr>
          <w:ilvl w:val="0"/>
          <w:numId w:val="2"/>
        </w:numPr>
        <w:spacing w:after="40" w:before="40"/>
      </w:pPr>
      <w:r>
        <w:rPr>
          <w:rFonts w:ascii="Arial" w:cs="Arial" w:eastAsia="Arial" w:hAnsi="Arial"/>
          <w:b w:val="false"/>
          <w:bCs w:val="false"/>
          <w:color w:val="000000"/>
          <w:sz w:val="22"/>
          <w:szCs w:val="22"/>
        </w:rPr>
        <w:t xml:space="preserve">Determine the genome build of origin by BLAST-aligning the gene reference sequence against hg16/17/18 and GRCh38.</w:t>
      </w:r>
    </w:p>
    <w:p>
      <w:pPr>
        <w:pStyle w:val="ListParagraph"/>
        <w:numPr>
          <w:ilvl w:val="0"/>
          <w:numId w:val="2"/>
        </w:numPr>
        <w:spacing w:after="40" w:before="40"/>
      </w:pPr>
      <w:r>
        <w:rPr>
          <w:rFonts w:ascii="Arial" w:cs="Arial" w:eastAsia="Arial" w:hAnsi="Arial"/>
          <w:b w:val="false"/>
          <w:bCs w:val="false"/>
          <w:color w:val="000000"/>
          <w:sz w:val="22"/>
          <w:szCs w:val="22"/>
        </w:rPr>
        <w:t xml:space="preserve">For databases where the original reference sequence is available, use UCSC liftOver or Mutalyzer position converter to remap coordinates to GRCh38.</w:t>
      </w:r>
    </w:p>
    <w:p>
      <w:pPr>
        <w:pStyle w:val="ListParagraph"/>
        <w:numPr>
          <w:ilvl w:val="0"/>
          <w:numId w:val="2"/>
        </w:numPr>
        <w:spacing w:after="40" w:before="40"/>
      </w:pPr>
      <w:r>
        <w:rPr>
          <w:rFonts w:ascii="Arial" w:cs="Arial" w:eastAsia="Arial" w:hAnsi="Arial"/>
          <w:b w:val="false"/>
          <w:bCs w:val="false"/>
          <w:color w:val="000000"/>
          <w:sz w:val="22"/>
          <w:szCs w:val="22"/>
        </w:rPr>
        <w:t xml:space="preserve">Document the liftover success rate: what proportion of variants lifted successfully? What proportion were lost to deleted or unresolvable regions?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EBF3FB"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IDbases observation. </w:t>
            </w:r>
            <w:r>
              <w:rPr>
                <w:rFonts w:ascii="Arial" w:cs="Arial" w:eastAsia="Arial" w:hAnsi="Arial"/>
                <w:color w:val="000000"/>
                <w:sz w:val="20"/>
                <w:szCs w:val="20"/>
              </w:rPr>
              <w:t xml:space="preserve">The IDbases pipeline BLAST-aligned 131 gene reference sequences against hg16, hg17, and hg18, generating up to three BED files per gene for cross-validation. Post-liftover, 1,390 unique variant positions (Source 1) and 1,918 (Source 3 LRG) were successfully mapped to GRCh38. The multi-build strategy enabled detection of coordinate discrepancies and validation of liftover consistency.</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3.2  HGVS Nomenclature Compliance</w:t>
      </w:r>
    </w:p>
    <w:p>
      <w:pPr>
        <w:spacing w:after="80" w:before="80"/>
      </w:pPr>
      <w:r>
        <w:rPr>
          <w:rFonts w:ascii="Arial" w:cs="Arial" w:eastAsia="Arial" w:hAnsi="Arial"/>
          <w:b w:val="false"/>
          <w:bCs w:val="false"/>
          <w:color w:val="000000"/>
          <w:sz w:val="22"/>
          <w:szCs w:val="22"/>
        </w:rPr>
        <w:t xml:space="preserve">HGVS (Human Genome Variation Society) nomenclature is the international standard for describing sequence variants. Assess:</w:t>
      </w:r>
    </w:p>
    <w:p>
      <w:pPr>
        <w:pStyle w:val="ListParagraph"/>
        <w:numPr>
          <w:ilvl w:val="0"/>
          <w:numId w:val="2"/>
        </w:numPr>
        <w:spacing w:after="40" w:before="40"/>
      </w:pPr>
      <w:r>
        <w:rPr>
          <w:rFonts w:ascii="Arial" w:cs="Arial" w:eastAsia="Arial" w:hAnsi="Arial"/>
          <w:b w:val="false"/>
          <w:bCs w:val="false"/>
          <w:color w:val="000000"/>
          <w:sz w:val="22"/>
          <w:szCs w:val="22"/>
        </w:rPr>
        <w:t xml:space="preserve">What proportion of systematic names are fully HGVS-compliant (parseable by Mutalyzer or VariantValidator without error)?</w:t>
      </w:r>
    </w:p>
    <w:p>
      <w:pPr>
        <w:pStyle w:val="ListParagraph"/>
        <w:numPr>
          <w:ilvl w:val="0"/>
          <w:numId w:val="2"/>
        </w:numPr>
        <w:spacing w:after="40" w:before="40"/>
      </w:pPr>
      <w:r>
        <w:rPr>
          <w:rFonts w:ascii="Arial" w:cs="Arial" w:eastAsia="Arial" w:hAnsi="Arial"/>
          <w:b w:val="false"/>
          <w:bCs w:val="false"/>
          <w:color w:val="000000"/>
          <w:sz w:val="22"/>
          <w:szCs w:val="22"/>
        </w:rPr>
        <w:t xml:space="preserve">Are substitutions, deletions, insertions, duplications, and complex rearrangements all represented? Or are certain variant types systematically absent or encoded informally?</w:t>
      </w:r>
    </w:p>
    <w:p>
      <w:pPr>
        <w:pStyle w:val="ListParagraph"/>
        <w:numPr>
          <w:ilvl w:val="0"/>
          <w:numId w:val="2"/>
        </w:numPr>
        <w:spacing w:after="40" w:before="40"/>
      </w:pPr>
      <w:r>
        <w:rPr>
          <w:rFonts w:ascii="Arial" w:cs="Arial" w:eastAsia="Arial" w:hAnsi="Arial"/>
          <w:b w:val="false"/>
          <w:bCs w:val="false"/>
          <w:color w:val="000000"/>
          <w:sz w:val="22"/>
          <w:szCs w:val="22"/>
        </w:rPr>
        <w:t xml:space="preserve">Are multi-allele entries (compound heterozygous patients) encoded in a way that preserves the phase information and can be split into individual HGVS entries?</w:t>
      </w:r>
    </w:p>
    <w:p>
      <w:pPr>
        <w:pStyle w:val="ListParagraph"/>
        <w:numPr>
          <w:ilvl w:val="0"/>
          <w:numId w:val="2"/>
        </w:numPr>
        <w:spacing w:after="40" w:before="40"/>
      </w:pPr>
      <w:r>
        <w:rPr>
          <w:rFonts w:ascii="Arial" w:cs="Arial" w:eastAsia="Arial" w:hAnsi="Arial"/>
          <w:b w:val="false"/>
          <w:bCs w:val="false"/>
          <w:color w:val="000000"/>
          <w:sz w:val="22"/>
          <w:szCs w:val="22"/>
        </w:rPr>
        <w:t xml:space="preserve">Are RNA-level and protein-level changes annotated in addition to, or instead of, the DNA-level change? DNA-level is mandatory; RNA/protein are supplementary.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FFF2CC" w:val="clear"/>
            <w:tcMar>
              <w:top w:type="dxa" w:w="100"/>
              <w:left w:type="dxa" w:w="160"/>
              <w:bottom w:type="dxa" w:w="100"/>
              <w:right w:type="dxa" w:w="160"/>
            </w:tcMar>
          </w:tcPr>
          <w:p>
            <w:pPr>
              <w:spacing w:after="0" w:before="0"/>
            </w:pPr>
            <w:r>
              <w:rPr>
                <w:rFonts w:ascii="Arial" w:cs="Arial" w:eastAsia="Arial" w:hAnsi="Arial"/>
                <w:b/>
                <w:bCs/>
                <w:color w:val="E08000"/>
                <w:sz w:val="20"/>
                <w:szCs w:val="20"/>
              </w:rPr>
              <w:t xml:space="preserve">IDbases observation. </w:t>
            </w:r>
            <w:r>
              <w:rPr>
                <w:rFonts w:ascii="Arial" w:cs="Arial" w:eastAsia="Arial" w:hAnsi="Arial"/>
                <w:color w:val="000000"/>
                <w:sz w:val="20"/>
                <w:szCs w:val="20"/>
              </w:rPr>
              <w:t xml:space="preserve">The IDbases sysname field uses an HGVS-like format but pre-dates full HGVS standardisation. Systematic issues include: incomplete substitution notations (59 records), long-sequence placeholders (6 records), non-HGVS position numbering for complement genes, and multi-allele compound strings requiring splitting logic. Mutalyzer normalisation (Step 6) is required to confirm and correct all entries.</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3.3  Transcript Reference Currency</w:t>
      </w:r>
    </w:p>
    <w:p>
      <w:pPr>
        <w:spacing w:after="80" w:before="80"/>
      </w:pPr>
      <w:r>
        <w:rPr>
          <w:rFonts w:ascii="Arial" w:cs="Arial" w:eastAsia="Arial" w:hAnsi="Arial"/>
          <w:b w:val="false"/>
          <w:bCs w:val="false"/>
          <w:color w:val="000000"/>
          <w:sz w:val="22"/>
          <w:szCs w:val="22"/>
        </w:rPr>
        <w:t xml:space="preserve">Modern variant interpretation requires alignment to a current, clinically relevant transcript. Assess whether the database references:</w:t>
      </w:r>
    </w:p>
    <w:p>
      <w:pPr>
        <w:pStyle w:val="ListParagraph"/>
        <w:numPr>
          <w:ilvl w:val="0"/>
          <w:numId w:val="2"/>
        </w:numPr>
        <w:spacing w:after="40" w:before="40"/>
      </w:pPr>
      <w:r>
        <w:rPr>
          <w:rFonts w:ascii="Arial" w:cs="Arial" w:eastAsia="Arial" w:hAnsi="Arial"/>
          <w:b w:val="false"/>
          <w:bCs w:val="false"/>
          <w:color w:val="000000"/>
          <w:sz w:val="22"/>
          <w:szCs w:val="22"/>
        </w:rPr>
        <w:t xml:space="preserve">MANE Select transcripts (the current gold standard for clinical reporting, maintained jointly by NCBI and Ensembl).</w:t>
      </w:r>
    </w:p>
    <w:p>
      <w:pPr>
        <w:pStyle w:val="ListParagraph"/>
        <w:numPr>
          <w:ilvl w:val="0"/>
          <w:numId w:val="2"/>
        </w:numPr>
        <w:spacing w:after="40" w:before="40"/>
      </w:pPr>
      <w:r>
        <w:rPr>
          <w:rFonts w:ascii="Arial" w:cs="Arial" w:eastAsia="Arial" w:hAnsi="Arial"/>
          <w:b w:val="false"/>
          <w:bCs w:val="false"/>
          <w:color w:val="000000"/>
          <w:sz w:val="22"/>
          <w:szCs w:val="22"/>
        </w:rPr>
        <w:t xml:space="preserve">LRG (Locus Reference Genomic) sequences — stable, gene-specific sequences intended for clinical reporting. LRG accessions map directly to RefSeqGene (NG_) accessions.</w:t>
      </w:r>
    </w:p>
    <w:p>
      <w:pPr>
        <w:pStyle w:val="ListParagraph"/>
        <w:numPr>
          <w:ilvl w:val="0"/>
          <w:numId w:val="2"/>
        </w:numPr>
        <w:spacing w:after="40" w:before="40"/>
      </w:pPr>
      <w:r>
        <w:rPr>
          <w:rFonts w:ascii="Arial" w:cs="Arial" w:eastAsia="Arial" w:hAnsi="Arial"/>
          <w:b w:val="false"/>
          <w:bCs w:val="false"/>
          <w:color w:val="000000"/>
          <w:sz w:val="22"/>
          <w:szCs w:val="22"/>
        </w:rPr>
        <w:t xml:space="preserve">Legacy transcript versions (NM_ accessions with outdated version numbers) that may not align to current MANE Select transcripts.</w:t>
      </w:r>
    </w:p>
    <w:p>
      <w:pPr>
        <w:spacing w:after="80" w:before="80"/>
      </w:pPr>
      <w:r>
        <w:rPr>
          <w:rFonts w:ascii="Arial" w:cs="Arial" w:eastAsia="Arial" w:hAnsi="Arial"/>
          <w:b w:val="false"/>
          <w:bCs w:val="false"/>
          <w:color w:val="000000"/>
          <w:sz w:val="22"/>
          <w:szCs w:val="22"/>
        </w:rPr>
        <w:t xml:space="preserve">Where the database uses gene-local sequences (as IDbases does), a BLAST-based mapping to the corresponding NG_ or NM_ accession must be performed, and the source sequence type (full genomic NG_-like, or CDS NM_-like) must be confirmed before HGVS c. coordinates can be applied.</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3.4  Domain 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18–20</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All variants in GRCh38 / HGVS-compliant notation; MANE Select transcripts referenced; liftover success &gt;95%.</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13–17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Majority of variants liftable; systematic names largely HGVS-compliant with minor formatting issues; LRG or NM_ references available.</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Pre-GRCh38 coordinates requiring liftover; HGVS-like but non-standard notation; some variant types missing or informally encoded.</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0–7</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Coordinates unresolvable or in a proprietary scheme; no HGVS notation; variant types inconsistently defined.</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4: </w:t>
            </w:r>
            <w:r>
              <w:rPr>
                <w:rFonts w:ascii="Arial" w:cs="Arial" w:eastAsia="Arial" w:hAnsi="Arial"/>
                <w:b/>
                <w:bCs/>
                <w:color w:val="FFFFFF"/>
                <w:sz w:val="26"/>
                <w:szCs w:val="26"/>
              </w:rPr>
              <w:t xml:space="preserve">Interoperability &amp; Technical Accessibility</w:t>
            </w:r>
          </w:p>
          <w:p>
            <w:pPr>
              <w:spacing w:after="0" w:before="20"/>
            </w:pPr>
            <w:r>
              <w:rPr>
                <w:rFonts w:ascii="Arial" w:cs="Arial" w:eastAsia="Arial" w:hAnsi="Arial"/>
                <w:color w:val="B0C8E0"/>
                <w:sz w:val="20"/>
                <w:szCs w:val="20"/>
              </w:rPr>
              <w:t xml:space="preserve">API support, export formats, platform dependency, and downstream integration</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A database that cannot be queried or exported programmatically is effectively inaccessible to the broader research community, regardless of its scientific content. This domain assesses the technical mechanisms through which data can be retrieved, integrated, and consumed by external tools.</w:t>
      </w:r>
    </w:p>
    <w:p>
      <w:pPr>
        <w:spacing w:after="0" w:before="80"/>
      </w:pPr>
      <w:r>
        <w:t xml:space="preserve"/>
      </w:r>
    </w:p>
    <w:p>
      <w:pPr>
        <w:pStyle w:val="Heading3"/>
        <w:spacing w:after="60" w:before="160"/>
      </w:pPr>
      <w:r>
        <w:rPr>
          <w:rFonts w:ascii="Arial" w:cs="Arial" w:eastAsia="Arial" w:hAnsi="Arial"/>
          <w:b/>
          <w:bCs/>
          <w:color w:val="1F4E79"/>
          <w:sz w:val="22"/>
          <w:szCs w:val="22"/>
        </w:rPr>
        <w:t xml:space="preserve">4.1  Programmatic Access</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database expose a REST or SOAP API? If so, what endpoints are available, and are they documented?</w:t>
      </w:r>
    </w:p>
    <w:p>
      <w:pPr>
        <w:pStyle w:val="ListParagraph"/>
        <w:numPr>
          <w:ilvl w:val="0"/>
          <w:numId w:val="2"/>
        </w:numPr>
        <w:spacing w:after="40" w:before="40"/>
      </w:pPr>
      <w:r>
        <w:rPr>
          <w:rFonts w:ascii="Arial" w:cs="Arial" w:eastAsia="Arial" w:hAnsi="Arial"/>
          <w:b w:val="false"/>
          <w:bCs w:val="false"/>
          <w:color w:val="000000"/>
          <w:sz w:val="22"/>
          <w:szCs w:val="22"/>
        </w:rPr>
        <w:t xml:space="preserve">Is bulk data export supported (VCF, TSV, JSON, XML)? What is the maximum accessible dataset size?</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platform require authentication for data access? If so, is the authentication mechanism compatible with automated pipelines?</w:t>
      </w:r>
    </w:p>
    <w:p>
      <w:pPr>
        <w:pStyle w:val="ListParagraph"/>
        <w:numPr>
          <w:ilvl w:val="0"/>
          <w:numId w:val="2"/>
        </w:numPr>
        <w:spacing w:after="40" w:before="40"/>
      </w:pPr>
      <w:r>
        <w:rPr>
          <w:rFonts w:ascii="Arial" w:cs="Arial" w:eastAsia="Arial" w:hAnsi="Arial"/>
          <w:b w:val="false"/>
          <w:bCs w:val="false"/>
          <w:color w:val="000000"/>
          <w:sz w:val="22"/>
          <w:szCs w:val="22"/>
        </w:rPr>
        <w:t xml:space="preserve">Is web scraping the only viable extraction method? If so, document the page structure, any rate limiting, and whether the HTML format is stable across gene databases.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FCE4D6" w:val="clear"/>
            <w:tcMar>
              <w:top w:type="dxa" w:w="100"/>
              <w:left w:type="dxa" w:w="160"/>
              <w:bottom w:type="dxa" w:w="100"/>
              <w:right w:type="dxa" w:w="160"/>
            </w:tcMar>
          </w:tcPr>
          <w:p>
            <w:pPr>
              <w:spacing w:after="0" w:before="0"/>
            </w:pPr>
            <w:r>
              <w:rPr>
                <w:rFonts w:ascii="Arial" w:cs="Arial" w:eastAsia="Arial" w:hAnsi="Arial"/>
                <w:b/>
                <w:bCs/>
                <w:color w:val="C00000"/>
                <w:sz w:val="20"/>
                <w:szCs w:val="20"/>
              </w:rPr>
              <w:t xml:space="preserve">IDbases observation. </w:t>
            </w:r>
            <w:r>
              <w:rPr>
                <w:rFonts w:ascii="Arial" w:cs="Arial" w:eastAsia="Arial" w:hAnsi="Arial"/>
                <w:color w:val="000000"/>
                <w:sz w:val="20"/>
                <w:szCs w:val="20"/>
              </w:rPr>
              <w:t xml:space="preserve">IDbases exposes no API and no bulk export facility. All data extraction was performed by custom HTML string parsing of *pub.html files (one per gene). The format is internally consistent but requires a gene-specific parser because of structural exceptions (complement genes, PNP/NP naming, multi-allele encoding variants). This is a Tier 1 interoperability failure — the most common pattern in databases of this vintage.</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4.2  Format Compatibility</w:t>
      </w:r>
    </w:p>
    <w:p>
      <w:pPr>
        <w:spacing w:after="80" w:before="80"/>
      </w:pPr>
      <w:r>
        <w:rPr>
          <w:rFonts w:ascii="Arial" w:cs="Arial" w:eastAsia="Arial" w:hAnsi="Arial"/>
          <w:b w:val="false"/>
          <w:bCs w:val="false"/>
          <w:color w:val="000000"/>
          <w:sz w:val="22"/>
          <w:szCs w:val="22"/>
        </w:rPr>
        <w:t xml:space="preserve">Assess whether the data, once extracted, can be converted to formats accepted by major receiving platforms:</w:t>
      </w:r>
    </w:p>
    <w:p>
      <w:pPr>
        <w:pStyle w:val="ListParagraph"/>
        <w:numPr>
          <w:ilvl w:val="0"/>
          <w:numId w:val="2"/>
        </w:numPr>
        <w:spacing w:after="40" w:before="40"/>
      </w:pPr>
      <w:r>
        <w:rPr>
          <w:rFonts w:ascii="Arial" w:cs="Arial" w:eastAsia="Arial" w:hAnsi="Arial"/>
          <w:b w:val="false"/>
          <w:bCs w:val="false"/>
          <w:color w:val="000000"/>
          <w:sz w:val="22"/>
          <w:szCs w:val="22"/>
        </w:rPr>
        <w:t xml:space="preserve">VCF 4.x (required by LOVD, ClinVar, and most genomic analysis pipelines).</w:t>
      </w:r>
    </w:p>
    <w:p>
      <w:pPr>
        <w:pStyle w:val="ListParagraph"/>
        <w:numPr>
          <w:ilvl w:val="0"/>
          <w:numId w:val="2"/>
        </w:numPr>
        <w:spacing w:after="40" w:before="40"/>
      </w:pPr>
      <w:r>
        <w:rPr>
          <w:rFonts w:ascii="Arial" w:cs="Arial" w:eastAsia="Arial" w:hAnsi="Arial"/>
          <w:b w:val="false"/>
          <w:bCs w:val="false"/>
          <w:color w:val="000000"/>
          <w:sz w:val="22"/>
          <w:szCs w:val="22"/>
        </w:rPr>
        <w:t xml:space="preserve">LOVD3 tab-delimited import format (if LOVD is the target platform).</w:t>
      </w:r>
    </w:p>
    <w:p>
      <w:pPr>
        <w:pStyle w:val="ListParagraph"/>
        <w:numPr>
          <w:ilvl w:val="0"/>
          <w:numId w:val="2"/>
        </w:numPr>
        <w:spacing w:after="40" w:before="40"/>
      </w:pPr>
      <w:r>
        <w:rPr>
          <w:rFonts w:ascii="Arial" w:cs="Arial" w:eastAsia="Arial" w:hAnsi="Arial"/>
          <w:b w:val="false"/>
          <w:bCs w:val="false"/>
          <w:color w:val="000000"/>
          <w:sz w:val="22"/>
          <w:szCs w:val="22"/>
        </w:rPr>
        <w:t xml:space="preserve">GA4GH Variant Representation Specification (VRS) — the emerging standard for computable variant identity.</w:t>
      </w:r>
    </w:p>
    <w:p>
      <w:pPr>
        <w:pStyle w:val="ListParagraph"/>
        <w:numPr>
          <w:ilvl w:val="0"/>
          <w:numId w:val="2"/>
        </w:numPr>
        <w:spacing w:after="40" w:before="40"/>
      </w:pPr>
      <w:r>
        <w:rPr>
          <w:rFonts w:ascii="Arial" w:cs="Arial" w:eastAsia="Arial" w:hAnsi="Arial"/>
          <w:b w:val="false"/>
          <w:bCs w:val="false"/>
          <w:color w:val="000000"/>
          <w:sz w:val="22"/>
          <w:szCs w:val="22"/>
        </w:rPr>
        <w:t xml:space="preserve">Phenotype data: is HPO (Human Phenotype Ontology) or OMIM used, or are phenotypes recorded as free text?</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4.3  External Resource Integration</w:t>
      </w:r>
    </w:p>
    <w:p>
      <w:pPr>
        <w:spacing w:after="80" w:before="80"/>
      </w:pPr>
      <w:r>
        <w:rPr>
          <w:rFonts w:ascii="Arial" w:cs="Arial" w:eastAsia="Arial" w:hAnsi="Arial"/>
          <w:b w:val="false"/>
          <w:bCs w:val="false"/>
          <w:color w:val="000000"/>
          <w:sz w:val="22"/>
          <w:szCs w:val="22"/>
        </w:rPr>
        <w:t xml:space="preserve">Evaluate existing links to and from the database:</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 records linked to PubMed articles (provenance)?</w:t>
      </w:r>
    </w:p>
    <w:p>
      <w:pPr>
        <w:pStyle w:val="ListParagraph"/>
        <w:numPr>
          <w:ilvl w:val="0"/>
          <w:numId w:val="2"/>
        </w:numPr>
        <w:spacing w:after="40" w:before="40"/>
      </w:pPr>
      <w:r>
        <w:rPr>
          <w:rFonts w:ascii="Arial" w:cs="Arial" w:eastAsia="Arial" w:hAnsi="Arial"/>
          <w:b w:val="false"/>
          <w:bCs w:val="false"/>
          <w:color w:val="000000"/>
          <w:sz w:val="22"/>
          <w:szCs w:val="22"/>
        </w:rPr>
        <w:t xml:space="preserve">Are gene entries linked to OMIM, Ensembl, or UniProt?</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 records cross-referenced with ClinVar, HGMD, or other central repositories?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database indexed by GA4GH Beacon or MatchMaker Exchange (for patient-level data)?</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4.4  Domain 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13–15</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Full REST API with documented endpoints; bulk export in VCF/TSV; links to ClinVar, Ensembl, and PubMed; HPO phenotype encoding.</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9–12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API or documented bulk export; VCF-convertible format; some external links present.</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5–8</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Export requires scripting/scraping; format conversion feasible; isolated external links.</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0–4</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No programmatic access; no documented export; data locked in proprietary or rendered format.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5: </w:t>
            </w:r>
            <w:r>
              <w:rPr>
                <w:rFonts w:ascii="Arial" w:cs="Arial" w:eastAsia="Arial" w:hAnsi="Arial"/>
                <w:b/>
                <w:bCs/>
                <w:color w:val="FFFFFF"/>
                <w:sz w:val="26"/>
                <w:szCs w:val="26"/>
              </w:rPr>
              <w:t xml:space="preserve">Curation Quality &amp; Provenance</w:t>
            </w:r>
          </w:p>
          <w:p>
            <w:pPr>
              <w:spacing w:after="0" w:before="20"/>
            </w:pPr>
            <w:r>
              <w:rPr>
                <w:rFonts w:ascii="Arial" w:cs="Arial" w:eastAsia="Arial" w:hAnsi="Arial"/>
                <w:color w:val="B0C8E0"/>
                <w:sz w:val="20"/>
                <w:szCs w:val="20"/>
              </w:rPr>
              <w:t xml:space="preserve">Source attribution, annotation depth, and audit trail</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Curation quality determines the scientific trustworthiness of the database. Even technically well-structured databases can harbour systematic annotation errors if curation workflows lacked peer review or source verification. Provenance — knowing where each variant came from — is essential for downstream reanalysis and for clinical interpretation.</w:t>
      </w:r>
    </w:p>
    <w:p>
      <w:pPr>
        <w:spacing w:after="0" w:before="80"/>
      </w:pPr>
      <w:r>
        <w:t xml:space="preserve"/>
      </w:r>
    </w:p>
    <w:p>
      <w:pPr>
        <w:pStyle w:val="Heading3"/>
        <w:spacing w:after="60" w:before="160"/>
      </w:pPr>
      <w:r>
        <w:rPr>
          <w:rFonts w:ascii="Arial" w:cs="Arial" w:eastAsia="Arial" w:hAnsi="Arial"/>
          <w:b/>
          <w:bCs/>
          <w:color w:val="1F4E79"/>
          <w:sz w:val="22"/>
          <w:szCs w:val="22"/>
        </w:rPr>
        <w:t xml:space="preserve">5.1  Source Attribution</w:t>
      </w:r>
    </w:p>
    <w:p>
      <w:pPr>
        <w:pStyle w:val="ListParagraph"/>
        <w:numPr>
          <w:ilvl w:val="0"/>
          <w:numId w:val="2"/>
        </w:numPr>
        <w:spacing w:after="40" w:before="40"/>
      </w:pPr>
      <w:r>
        <w:rPr>
          <w:rFonts w:ascii="Arial" w:cs="Arial" w:eastAsia="Arial" w:hAnsi="Arial"/>
          <w:b w:val="false"/>
          <w:bCs w:val="false"/>
          <w:color w:val="000000"/>
          <w:sz w:val="22"/>
          <w:szCs w:val="22"/>
        </w:rPr>
        <w:t xml:space="preserve">Is every variant entry linked to a primary literature source (PubMed ID, DOI)?</w:t>
      </w:r>
    </w:p>
    <w:p>
      <w:pPr>
        <w:pStyle w:val="ListParagraph"/>
        <w:numPr>
          <w:ilvl w:val="0"/>
          <w:numId w:val="2"/>
        </w:numPr>
        <w:spacing w:after="40" w:before="40"/>
      </w:pPr>
      <w:r>
        <w:rPr>
          <w:rFonts w:ascii="Arial" w:cs="Arial" w:eastAsia="Arial" w:hAnsi="Arial"/>
          <w:b w:val="false"/>
          <w:bCs w:val="false"/>
          <w:color w:val="000000"/>
          <w:sz w:val="22"/>
          <w:szCs w:val="22"/>
        </w:rPr>
        <w:t xml:space="preserve">Are unpublished or submitted variants clearly distinguished from literature-derived ones?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submitting curator or institution recorded per entry?</w:t>
      </w:r>
    </w:p>
    <w:p>
      <w:pPr>
        <w:pStyle w:val="ListParagraph"/>
        <w:numPr>
          <w:ilvl w:val="0"/>
          <w:numId w:val="2"/>
        </w:numPr>
        <w:spacing w:after="40" w:before="40"/>
      </w:pPr>
      <w:r>
        <w:rPr>
          <w:rFonts w:ascii="Arial" w:cs="Arial" w:eastAsia="Arial" w:hAnsi="Arial"/>
          <w:b w:val="false"/>
          <w:bCs w:val="false"/>
          <w:color w:val="000000"/>
          <w:sz w:val="22"/>
          <w:szCs w:val="22"/>
        </w:rPr>
        <w:t xml:space="preserve">For patient-derived data: is the level of clinical evidence (diagnostic, research, carrier) recorded?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EBF3FB"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IDbases observation. </w:t>
            </w:r>
            <w:r>
              <w:rPr>
                <w:rFonts w:ascii="Arial" w:cs="Arial" w:eastAsia="Arial" w:hAnsi="Arial"/>
                <w:color w:val="000000"/>
                <w:sz w:val="20"/>
                <w:szCs w:val="20"/>
              </w:rPr>
              <w:t xml:space="preserve">IDbases links many entries to published articles via the pub.html structure; origin paper extraction (extract_origin_papers.py, Step 1 new) was used to recover article titles and PubMed links per accession, producing origin_paper.tsv. However, the reference sequence used at the time of curation is not always explicit and must be reconstructed (find_reference_sequences.py, Step 5d new, using Entrez + Claude API lookups).</w:t>
            </w:r>
          </w:p>
        </w:tc>
      </w:tr>
    </w:tbl>
    <w:p>
      <w:pPr>
        <w:spacing w:after="0" w:before="100"/>
      </w:pPr>
      <w:r>
        <w:t xml:space="preserve"/>
      </w:r>
    </w:p>
    <w:p>
      <w:pPr>
        <w:pStyle w:val="Heading3"/>
        <w:spacing w:after="60" w:before="160"/>
      </w:pPr>
      <w:r>
        <w:rPr>
          <w:rFonts w:ascii="Arial" w:cs="Arial" w:eastAsia="Arial" w:hAnsi="Arial"/>
          <w:b/>
          <w:bCs/>
          <w:color w:val="1F4E79"/>
          <w:sz w:val="22"/>
          <w:szCs w:val="22"/>
        </w:rPr>
        <w:t xml:space="preserve">5.2  Annotation Depth</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 interpretations (pathogenic, likely pathogenic, VUS, benign) recorded, and do they follow ACMG/AMP 2015 or equivalent criteria?</w:t>
      </w:r>
    </w:p>
    <w:p>
      <w:pPr>
        <w:pStyle w:val="ListParagraph"/>
        <w:numPr>
          <w:ilvl w:val="0"/>
          <w:numId w:val="2"/>
        </w:numPr>
        <w:spacing w:after="40" w:before="40"/>
      </w:pPr>
      <w:r>
        <w:rPr>
          <w:rFonts w:ascii="Arial" w:cs="Arial" w:eastAsia="Arial" w:hAnsi="Arial"/>
          <w:b w:val="false"/>
          <w:bCs w:val="false"/>
          <w:color w:val="000000"/>
          <w:sz w:val="22"/>
          <w:szCs w:val="22"/>
        </w:rPr>
        <w:t xml:space="preserve">Are functional studies or clinical evidence codes recorded alongside classifications?</w:t>
      </w:r>
    </w:p>
    <w:p>
      <w:pPr>
        <w:pStyle w:val="ListParagraph"/>
        <w:numPr>
          <w:ilvl w:val="0"/>
          <w:numId w:val="2"/>
        </w:numPr>
        <w:spacing w:after="40" w:before="40"/>
      </w:pPr>
      <w:r>
        <w:rPr>
          <w:rFonts w:ascii="Arial" w:cs="Arial" w:eastAsia="Arial" w:hAnsi="Arial"/>
          <w:b w:val="false"/>
          <w:bCs w:val="false"/>
          <w:color w:val="000000"/>
          <w:sz w:val="22"/>
          <w:szCs w:val="22"/>
        </w:rPr>
        <w:t xml:space="preserve">Is phenotypic data (HPO terms, clinical features, age of onset, inheritance) captured per patient?</w:t>
      </w:r>
    </w:p>
    <w:p>
      <w:pPr>
        <w:pStyle w:val="ListParagraph"/>
        <w:numPr>
          <w:ilvl w:val="0"/>
          <w:numId w:val="2"/>
        </w:numPr>
        <w:spacing w:after="40" w:before="40"/>
      </w:pPr>
      <w:r>
        <w:rPr>
          <w:rFonts w:ascii="Arial" w:cs="Arial" w:eastAsia="Arial" w:hAnsi="Arial"/>
          <w:b w:val="false"/>
          <w:bCs w:val="false"/>
          <w:color w:val="000000"/>
          <w:sz w:val="22"/>
          <w:szCs w:val="22"/>
        </w:rPr>
        <w:t xml:space="preserve">Are de novo, familial, or population frequency data available?</w:t>
      </w:r>
    </w:p>
    <w:p>
      <w:pPr>
        <w:spacing w:after="0" w:before="100"/>
      </w:pPr>
      <w:r>
        <w:t xml:space="preserve"/>
      </w:r>
    </w:p>
    <w:p>
      <w:pPr>
        <w:pStyle w:val="Heading3"/>
        <w:spacing w:after="60" w:before="160"/>
      </w:pPr>
      <w:r>
        <w:rPr>
          <w:rFonts w:ascii="Arial" w:cs="Arial" w:eastAsia="Arial" w:hAnsi="Arial"/>
          <w:b/>
          <w:bCs/>
          <w:color w:val="1F4E79"/>
          <w:sz w:val="22"/>
          <w:szCs w:val="22"/>
        </w:rPr>
        <w:t xml:space="preserve">5.3  Domain 5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9–10</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Every variant has a PubMed link; ACMG classification with evidence codes; HPO phenotypes; submitter recorded.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6–8</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&gt;80% of variants have source attribution; partial classification or phenotype data.</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Source attribution inconsistent; no formal classification scheme; phenotype recorded as free text.</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0–2</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Source attribution absent or unrecoverable; no classification; phenotype data missing.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6: </w:t>
            </w:r>
            <w:r>
              <w:rPr>
                <w:rFonts w:ascii="Arial" w:cs="Arial" w:eastAsia="Arial" w:hAnsi="Arial"/>
                <w:b/>
                <w:bCs/>
                <w:color w:val="FFFFFF"/>
                <w:sz w:val="26"/>
                <w:szCs w:val="26"/>
              </w:rPr>
              <w:t xml:space="preserve">Documentation &amp; Metadata Completeness</w:t>
            </w:r>
          </w:p>
          <w:p>
            <w:pPr>
              <w:spacing w:after="0" w:before="20"/>
            </w:pPr>
            <w:r>
              <w:rPr>
                <w:rFonts w:ascii="Arial" w:cs="Arial" w:eastAsia="Arial" w:hAnsi="Arial"/>
                <w:color w:val="B0C8E0"/>
                <w:sz w:val="20"/>
                <w:szCs w:val="20"/>
              </w:rPr>
              <w:t xml:space="preserve">Data dictionaries, schema documentation, and operational records</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A database without documentation is effectively a black box. This domain assesses whether the database is accompanied by sufficient documentation for an independent evaluator — or a future custodian — to understand its contents, limitations, and operational history.</w:t>
      </w:r>
    </w:p>
    <w:p>
      <w:pPr>
        <w:spacing w:after="0" w:before="80"/>
      </w:pPr>
      <w:r>
        <w:t xml:space="preserve"/>
      </w:r>
    </w:p>
    <w:p>
      <w:pPr>
        <w:pStyle w:val="Heading3"/>
        <w:spacing w:after="60" w:before="160"/>
      </w:pPr>
      <w:r>
        <w:rPr>
          <w:rFonts w:ascii="Arial" w:cs="Arial" w:eastAsia="Arial" w:hAnsi="Arial"/>
          <w:b/>
          <w:bCs/>
          <w:color w:val="1F4E79"/>
          <w:sz w:val="22"/>
          <w:szCs w:val="22"/>
        </w:rPr>
        <w:t xml:space="preserve">6.1  Data Dictionary</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formal definition of every field, including data type, allowed values, and the meaning of null entries?</w:t>
      </w:r>
    </w:p>
    <w:p>
      <w:pPr>
        <w:pStyle w:val="ListParagraph"/>
        <w:numPr>
          <w:ilvl w:val="0"/>
          <w:numId w:val="2"/>
        </w:numPr>
        <w:spacing w:after="40" w:before="40"/>
      </w:pPr>
      <w:r>
        <w:rPr>
          <w:rFonts w:ascii="Arial" w:cs="Arial" w:eastAsia="Arial" w:hAnsi="Arial"/>
          <w:b w:val="false"/>
          <w:bCs w:val="false"/>
          <w:color w:val="000000"/>
          <w:sz w:val="22"/>
          <w:szCs w:val="22"/>
        </w:rPr>
        <w:t xml:space="preserve">Are controlled vocabularies for categorical fields documented and version-controlled?</w:t>
      </w:r>
    </w:p>
    <w:p>
      <w:pPr>
        <w:pStyle w:val="ListParagraph"/>
        <w:numPr>
          <w:ilvl w:val="0"/>
          <w:numId w:val="2"/>
        </w:numPr>
        <w:spacing w:after="40" w:before="40"/>
      </w:pPr>
      <w:r>
        <w:rPr>
          <w:rFonts w:ascii="Arial" w:cs="Arial" w:eastAsia="Arial" w:hAnsi="Arial"/>
          <w:b w:val="false"/>
          <w:bCs w:val="false"/>
          <w:color w:val="000000"/>
          <w:sz w:val="22"/>
          <w:szCs w:val="22"/>
        </w:rPr>
        <w:t xml:space="preserve">Are known limitations or exceptions to the general data model explicitly stated?</w:t>
      </w:r>
    </w:p>
    <w:p>
      <w:pPr>
        <w:spacing w:after="0" w:before="80"/>
      </w:pPr>
      <w:r>
        <w:t xml:space="preserve"/>
      </w:r>
    </w:p>
    <w:p>
      <w:pPr>
        <w:pStyle w:val="Heading3"/>
        <w:spacing w:after="60" w:before="160"/>
      </w:pPr>
      <w:r>
        <w:rPr>
          <w:rFonts w:ascii="Arial" w:cs="Arial" w:eastAsia="Arial" w:hAnsi="Arial"/>
          <w:b/>
          <w:bCs/>
          <w:color w:val="1F4E79"/>
          <w:sz w:val="22"/>
          <w:szCs w:val="22"/>
        </w:rPr>
        <w:t xml:space="preserve">6.2  Schema &amp; Version History</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version-controlled record of schema changes over time?</w:t>
      </w:r>
    </w:p>
    <w:p>
      <w:pPr>
        <w:pStyle w:val="ListParagraph"/>
        <w:numPr>
          <w:ilvl w:val="0"/>
          <w:numId w:val="2"/>
        </w:numPr>
        <w:spacing w:after="40" w:before="40"/>
      </w:pPr>
      <w:r>
        <w:rPr>
          <w:rFonts w:ascii="Arial" w:cs="Arial" w:eastAsia="Arial" w:hAnsi="Arial"/>
          <w:b w:val="false"/>
          <w:bCs w:val="false"/>
          <w:color w:val="000000"/>
          <w:sz w:val="22"/>
          <w:szCs w:val="22"/>
        </w:rPr>
        <w:t xml:space="preserve">Are known data quality issues (e.g., the non-standard complement gene format in IDbases) documented for future users?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changelog linking database updates to software platform versions?</w:t>
      </w:r>
    </w:p>
    <w:p>
      <w:pPr>
        <w:spacing w:after="0" w:before="80"/>
      </w:pPr>
      <w:r>
        <w:t xml:space="preserve"/>
      </w:r>
    </w:p>
    <w:p>
      <w:pPr>
        <w:pStyle w:val="Heading3"/>
        <w:spacing w:after="60" w:before="160"/>
      </w:pPr>
      <w:r>
        <w:rPr>
          <w:rFonts w:ascii="Arial" w:cs="Arial" w:eastAsia="Arial" w:hAnsi="Arial"/>
          <w:b/>
          <w:bCs/>
          <w:color w:val="1F4E79"/>
          <w:sz w:val="22"/>
          <w:szCs w:val="22"/>
        </w:rPr>
        <w:t xml:space="preserve">6.3  Operational Documentation</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curation manual describing how new entries are submitted, reviewed, and approved?</w:t>
      </w:r>
    </w:p>
    <w:p>
      <w:pPr>
        <w:pStyle w:val="ListParagraph"/>
        <w:numPr>
          <w:ilvl w:val="0"/>
          <w:numId w:val="2"/>
        </w:numPr>
        <w:spacing w:after="40" w:before="40"/>
      </w:pPr>
      <w:r>
        <w:rPr>
          <w:rFonts w:ascii="Arial" w:cs="Arial" w:eastAsia="Arial" w:hAnsi="Arial"/>
          <w:b w:val="false"/>
          <w:bCs w:val="false"/>
          <w:color w:val="000000"/>
          <w:sz w:val="22"/>
          <w:szCs w:val="22"/>
        </w:rPr>
        <w:t xml:space="preserve">Are processing scripts or data transformation tools versioned and documented?</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record of known data anomalies (e.g., the STAT2/STAT5B and C8B/TAPBP file swap issues in IDbases)?</w:t>
      </w:r>
    </w:p>
    <w:p>
      <w:pPr>
        <w:spacing w:after="0" w:before="80"/>
      </w:pPr>
      <w:r>
        <w:t xml:space="preserve"/>
      </w:r>
    </w:p>
    <w:p>
      <w:pPr>
        <w:pStyle w:val="Heading3"/>
        <w:spacing w:after="60" w:before="160"/>
      </w:pPr>
      <w:r>
        <w:rPr>
          <w:rFonts w:ascii="Arial" w:cs="Arial" w:eastAsia="Arial" w:hAnsi="Arial"/>
          <w:b/>
          <w:bCs/>
          <w:color w:val="1F4E79"/>
          <w:sz w:val="22"/>
          <w:szCs w:val="22"/>
        </w:rPr>
        <w:t xml:space="preserve">6.4  Domain 6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9–10</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Full data dictionary; version-controlled schema history; curation manual; anomaly register.</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6–8</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dictionary present for most fields; partial version history; curation guidelines exist.</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Partial or informal field definitions; no version history; curation process undocumented.</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0–2</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No documentation; fields undefined; no curation guidelines; anomalies unrecorded.</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00"/>
              <w:bottom w:type="dxa" w:w="80"/>
              <w:right w:type="dxa" w:w="200"/>
            </w:tcMar>
          </w:tcPr>
          <w:p>
            <w:pPr>
              <w:spacing w:after="0" w:before="0"/>
            </w:pPr>
            <w:r>
              <w:rPr>
                <w:rFonts w:ascii="Arial" w:cs="Arial" w:eastAsia="Arial" w:hAnsi="Arial"/>
                <w:b/>
                <w:bCs/>
                <w:color w:val="A9C4E0"/>
                <w:sz w:val="26"/>
                <w:szCs w:val="26"/>
              </w:rPr>
              <w:t xml:space="preserve">Domain 7: </w:t>
            </w:r>
            <w:r>
              <w:rPr>
                <w:rFonts w:ascii="Arial" w:cs="Arial" w:eastAsia="Arial" w:hAnsi="Arial"/>
                <w:b/>
                <w:bCs/>
                <w:color w:val="FFFFFF"/>
                <w:sz w:val="26"/>
                <w:szCs w:val="26"/>
              </w:rPr>
              <w:t xml:space="preserve">Maintenance &amp; Operational Continuity</w:t>
            </w:r>
          </w:p>
          <w:p>
            <w:pPr>
              <w:spacing w:after="0" w:before="20"/>
            </w:pPr>
            <w:r>
              <w:rPr>
                <w:rFonts w:ascii="Arial" w:cs="Arial" w:eastAsia="Arial" w:hAnsi="Arial"/>
                <w:color w:val="B0C8E0"/>
                <w:sz w:val="20"/>
                <w:szCs w:val="20"/>
              </w:rPr>
              <w:t xml:space="preserve">Update frequency, custodianship, and community engagement</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Even a well-designed, well-documented database becomes a liability if it is not maintained. This domain assesses the operational health of the database and the sustainability of its custodianship model.</w:t>
      </w:r>
    </w:p>
    <w:p>
      <w:pPr>
        <w:spacing w:after="0" w:before="80"/>
      </w:pPr>
      <w:r>
        <w:t xml:space="preserve"/>
      </w:r>
    </w:p>
    <w:p>
      <w:pPr>
        <w:pStyle w:val="Heading3"/>
        <w:spacing w:after="60" w:before="160"/>
      </w:pPr>
      <w:r>
        <w:rPr>
          <w:rFonts w:ascii="Arial" w:cs="Arial" w:eastAsia="Arial" w:hAnsi="Arial"/>
          <w:b/>
          <w:bCs/>
          <w:color w:val="1F4E79"/>
          <w:sz w:val="22"/>
          <w:szCs w:val="22"/>
        </w:rPr>
        <w:t xml:space="preserve">7.1  Update Frequency &amp; Last Activity</w:t>
      </w:r>
    </w:p>
    <w:p>
      <w:pPr>
        <w:pStyle w:val="ListParagraph"/>
        <w:numPr>
          <w:ilvl w:val="0"/>
          <w:numId w:val="2"/>
        </w:numPr>
        <w:spacing w:after="40" w:before="40"/>
      </w:pPr>
      <w:r>
        <w:rPr>
          <w:rFonts w:ascii="Arial" w:cs="Arial" w:eastAsia="Arial" w:hAnsi="Arial"/>
          <w:b w:val="false"/>
          <w:bCs w:val="false"/>
          <w:color w:val="000000"/>
          <w:sz w:val="22"/>
          <w:szCs w:val="22"/>
        </w:rPr>
        <w:t xml:space="preserve">When was the most recent variant record added or modified?</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regular curation cycle (e.g., quarterly literature review)?</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 classifications reviewed and updated in response to new evidence?</w:t>
      </w:r>
    </w:p>
    <w:p>
      <w:pPr>
        <w:spacing w:after="0" w:before="80"/>
      </w:pPr>
      <w:r>
        <w:t xml:space="preserve"/>
      </w:r>
    </w:p>
    <w:p>
      <w:pPr>
        <w:pStyle w:val="Heading3"/>
        <w:spacing w:after="60" w:before="160"/>
      </w:pPr>
      <w:r>
        <w:rPr>
          <w:rFonts w:ascii="Arial" w:cs="Arial" w:eastAsia="Arial" w:hAnsi="Arial"/>
          <w:b/>
          <w:bCs/>
          <w:color w:val="1F4E79"/>
          <w:sz w:val="22"/>
          <w:szCs w:val="22"/>
        </w:rPr>
        <w:t xml:space="preserve">7.2  Custodianship Model</w:t>
      </w:r>
    </w:p>
    <w:p>
      <w:pPr>
        <w:pStyle w:val="ListParagraph"/>
        <w:numPr>
          <w:ilvl w:val="0"/>
          <w:numId w:val="2"/>
        </w:numPr>
        <w:spacing w:after="40" w:before="40"/>
      </w:pPr>
      <w:r>
        <w:rPr>
          <w:rFonts w:ascii="Arial" w:cs="Arial" w:eastAsia="Arial" w:hAnsi="Arial"/>
          <w:b w:val="false"/>
          <w:bCs w:val="false"/>
          <w:color w:val="000000"/>
          <w:sz w:val="22"/>
          <w:szCs w:val="22"/>
        </w:rPr>
        <w:t xml:space="preserve">Is custodianship held by a single individual (high succession risk) or distributed across a team or institution?</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an institutional commitment to long-term hosting and maintenance, or is the database dependent on a single grant or research project?</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succession plan that specifies how the database would be maintained if the current custodian were unavailable?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8"/>
              <w:bottom w:val="single" w:color="2E75B6" w:sz="4"/>
              <w:right w:val="none" w:color="FFFFFF" w:sz="0"/>
            </w:tcBorders>
            <w:shd w:fill="EBF3FB" w:val="clear"/>
            <w:tcMar>
              <w:top w:type="dxa" w:w="100"/>
              <w:left w:type="dxa" w:w="160"/>
              <w:bottom w:type="dxa" w:w="100"/>
              <w:right w:type="dxa" w:w="160"/>
            </w:tcMar>
          </w:tcPr>
          <w:p>
            <w:pPr>
              <w:spacing w:after="0" w:before="0"/>
            </w:pPr>
            <w:r>
              <w:rPr>
                <w:rFonts w:ascii="Arial" w:cs="Arial" w:eastAsia="Arial" w:hAnsi="Arial"/>
                <w:b/>
                <w:bCs/>
                <w:color w:val="1F4E79"/>
                <w:sz w:val="20"/>
                <w:szCs w:val="20"/>
              </w:rPr>
              <w:t xml:space="preserve">IDbases observation. </w:t>
            </w:r>
            <w:r>
              <w:rPr>
                <w:rFonts w:ascii="Arial" w:cs="Arial" w:eastAsia="Arial" w:hAnsi="Arial"/>
                <w:color w:val="000000"/>
                <w:sz w:val="20"/>
                <w:szCs w:val="20"/>
              </w:rPr>
              <w:t xml:space="preserve">The IDbases collection is maintained by the Protein Structure and Bioinformatics Group at Lund University. MUTbase was developed since 1999 but the platform itself is no longer actively developed. The migration to LOVD is partly motivated by the unsustainability of the current custodianship model and the maintenance cost to the institution.</w:t>
            </w:r>
          </w:p>
        </w:tc>
      </w:tr>
    </w:tbl>
    <w:p>
      <w:pPr>
        <w:spacing w:after="0" w:before="80"/>
      </w:pPr>
      <w:r>
        <w:t xml:space="preserve"/>
      </w:r>
    </w:p>
    <w:p>
      <w:pPr>
        <w:pStyle w:val="Heading3"/>
        <w:spacing w:after="60" w:before="160"/>
      </w:pPr>
      <w:r>
        <w:rPr>
          <w:rFonts w:ascii="Arial" w:cs="Arial" w:eastAsia="Arial" w:hAnsi="Arial"/>
          <w:b/>
          <w:bCs/>
          <w:color w:val="1F4E79"/>
          <w:sz w:val="22"/>
          <w:szCs w:val="22"/>
        </w:rPr>
        <w:t xml:space="preserve">7.3  Community Engagement</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database accept external submissions from the community?</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database listed in a registry (e.g., LOVD, dbVar, or a disease-specific registry)?</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user-facing contact point for error reporting or data requests?</w:t>
      </w:r>
    </w:p>
    <w:p>
      <w:pPr>
        <w:spacing w:after="0" w:before="80"/>
      </w:pPr>
      <w:r>
        <w:t xml:space="preserve"/>
      </w:r>
    </w:p>
    <w:p>
      <w:pPr>
        <w:pStyle w:val="Heading3"/>
        <w:spacing w:after="60" w:before="160"/>
      </w:pPr>
      <w:r>
        <w:rPr>
          <w:rFonts w:ascii="Arial" w:cs="Arial" w:eastAsia="Arial" w:hAnsi="Arial"/>
          <w:b/>
          <w:bCs/>
          <w:color w:val="1F4E79"/>
          <w:sz w:val="22"/>
          <w:szCs w:val="22"/>
        </w:rPr>
        <w:t xml:space="preserve">7.4  Domain 7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Excellent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Active curation; distributed custodianship with institutional commitment; external submissions accepted.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3–4</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Good</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Periodic updates; institutional hosting; limited external submissions.</w:t>
            </w:r>
          </w:p>
        </w:tc>
      </w:tr>
      <w:tr>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Fair</w:t>
            </w:r>
          </w:p>
        </w:tc>
        <w:tc>
          <w:tcPr>
            <w:tcW w:type="dxa" w:w="61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Infrequent updates; single custodian; no submission mechanism.</w:t>
            </w:r>
          </w:p>
        </w:tc>
      </w:tr>
      <w:tr>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Poor</w:t>
            </w:r>
          </w:p>
        </w:tc>
        <w:tc>
          <w:tcPr>
            <w:tcW w:type="dxa" w:w="61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No recent activity; custodian uncontactable; no succession plan.</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Maturity Tier Classification</w:t>
      </w:r>
    </w:p>
    <w:p>
      <w:pPr>
        <w:spacing w:after="80" w:before="80"/>
      </w:pPr>
      <w:r>
        <w:rPr>
          <w:rFonts w:ascii="Arial" w:cs="Arial" w:eastAsia="Arial" w:hAnsi="Arial"/>
          <w:b w:val="false"/>
          <w:bCs w:val="false"/>
          <w:color w:val="000000"/>
          <w:sz w:val="22"/>
          <w:szCs w:val="22"/>
        </w:rPr>
        <w:t xml:space="preserve">After scoring all seven domains, the total score (0–100) maps to one of four maturity tiers. The tier determines the recommended remediation and migration pathway.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 &amp; Recommended Pathway</w:t>
            </w:r>
          </w:p>
        </w:tc>
      </w:tr>
      <w:tr>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Tier 1 — Legacy Critical</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0–39</w:t>
            </w:r>
          </w:p>
        </w:tc>
        <w:tc>
          <w:tcPr>
            <w:tcW w:type="dxa" w:w="65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Severe structural deficiencies; high risk of data loss during migration. Requires full data rescue protocol before any standardisation work. Prioritise data export and provenance reconstruction.</w:t>
            </w:r>
          </w:p>
        </w:tc>
      </w:tr>
      <w:tr>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Tier 2 — Legacy Moderate</w:t>
            </w:r>
          </w:p>
        </w:tc>
        <w:tc>
          <w:tcPr>
            <w:tcW w:type="dxa" w:w="1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40–59</w:t>
            </w:r>
          </w:p>
        </w:tc>
        <w:tc>
          <w:tcPr>
            <w:tcW w:type="dxa" w:w="65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Significant gaps but core data is recoverable. Targeted remediation recommended (coordinate remapping, nomenclature conversion, deduplication) before platform migration.</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Transitional</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60–79</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Adequately structured but not yet interoperable. Direct migration pipeline applicable; automated QC and HGVS normalisation tools can handle remaining gaps with limited manual intervention.</w:t>
            </w:r>
          </w:p>
        </w:tc>
      </w:tr>
      <w:tr>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Tier 4 — Near-Modern</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80–100</w:t>
            </w:r>
          </w:p>
        </w:tc>
        <w:tc>
          <w:tcPr>
            <w:tcW w:type="dxa" w:w="65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Well-maintained with minor standardisation gaps. Suitable for direct import into LOVD, ClinVar, or equivalent platform. Focus on MANE transcript alignment and API activation.</w:t>
            </w:r>
          </w:p>
        </w:tc>
      </w:tr>
    </w:tbl>
    <w:p>
      <w:pPr>
        <w:spacing w:after="0" w:before="120"/>
      </w:pPr>
      <w:r>
        <w:t xml:space="preserve"/>
      </w:r>
    </w:p>
    <w:p>
      <w:pPr>
        <w:spacing w:after="80" w:before="80"/>
      </w:pPr>
      <w:r>
        <w:rPr>
          <w:rFonts w:ascii="Arial" w:cs="Arial" w:eastAsia="Arial" w:hAnsi="Arial"/>
          <w:b w:val="false"/>
          <w:bCs w:val="false"/>
          <w:color w:val="000000"/>
          <w:sz w:val="22"/>
          <w:szCs w:val="22"/>
        </w:rPr>
        <w:t xml:space="preserve">Tier assignment should always be reviewed in conjunction with the domain-level subscores. A Tier 2 database with a score of 0 on Domain 3 (Nomenclature) but high scores on all other domains requires a very different intervention from one with uniformly moderate scores. The domain profile is more actionable than the aggregate score alone.</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Remediation Pathways</w:t>
      </w:r>
    </w:p>
    <w:p>
      <w:pPr>
        <w:spacing w:after="80" w:before="80"/>
      </w:pPr>
      <w:r>
        <w:rPr>
          <w:rFonts w:ascii="Arial" w:cs="Arial" w:eastAsia="Arial" w:hAnsi="Arial"/>
          <w:b w:val="false"/>
          <w:bCs w:val="false"/>
          <w:color w:val="000000"/>
          <w:sz w:val="22"/>
          <w:szCs w:val="22"/>
        </w:rPr>
        <w:t xml:space="preserve">Based on the domain profile, targeted remediation actions can be prioritised before pipeline execution. The table below maps common failure patterns to recommended interventions, drawn from experience with the IDbases 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Pattern</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Intervention</w:t>
            </w:r>
          </w:p>
        </w:tc>
        <w:tc>
          <w:tcPr>
            <w:tcW w:type="dxa" w:w="2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 Reference</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Pre-GRCh38 coordinates</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BLAST alignment of reference sequence against hg16/17/18; UCSC liftOver to GRCh38; multi-build cross-validation</w:t>
            </w:r>
          </w:p>
        </w:tc>
        <w:tc>
          <w:tcPr>
            <w:tcW w:type="dxa" w:w="29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Steps 4, 5a, 5b</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Gene-local coordinate system</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BLAST query of IDRefSeq sequence against genome; linear interpolation of variant positions to chromosomal space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Steps 3, 4, 5a</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Non-HGVS systematic names</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Mutalyzer / VariantValidator batch normalisation; manual curation of unparseable entries</w:t>
            </w:r>
          </w:p>
        </w:tc>
        <w:tc>
          <w:tcPr>
            <w:tcW w:type="dxa" w:w="29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Step 6</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Incomplete substitution notations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and isolate; cross-reference Feature /change field in source HTML for the full nucleotide sequence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Step 1, Data Quality Problem 1</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Multi-allele compound sysnames</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Automated splitting by allele label pattern; flag ambiguous cases for manual review</w:t>
            </w:r>
          </w:p>
        </w:tc>
        <w:tc>
          <w:tcPr>
            <w:tcW w:type="dxa" w:w="29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Step 1, Data Quality Problem 3</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Missing reference sequence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Entrez API lookup of PubMed-linked articles; BLAST cross-reference to LRG / NM_ sequences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Step 5d, find_reference_sequences.py</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No programmatic access (HTML only)</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Custom HTML parser per gene; validate parse completeness against known record counts</w:t>
            </w:r>
          </w:p>
        </w:tc>
        <w:tc>
          <w:tcPr>
            <w:tcW w:type="dxa" w:w="29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Step 1, extract_mutations.py</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Reference sequence file mismatch</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BLAST query of suspect file against the named gene’s NG_ sequence; confirm identity; replace or flag</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Step 3 Data Anomalies, Step 5d reference_confirm.py</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Non-standard variant numbering (gene subset)</w:t>
            </w:r>
          </w:p>
        </w:tc>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Gene-specific parsing logic; document exception in anomaly register</w:t>
            </w:r>
          </w:p>
        </w:tc>
        <w:tc>
          <w:tcPr>
            <w:tcW w:type="dxa" w:w="29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Step 1, complement gene parsing note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No MANE transcript alignment</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Map NG_ or NM_ accessions to MANE Select via NCBI; update Mutalyzer descriptions to MANE-compatible notation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Step 6 (pending)</w:t>
            </w:r>
          </w:p>
        </w:tc>
      </w:tr>
    </w:tbl>
    <w:p>
      <w:pPr>
        <w:pageBreakBefore/>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Evaluation Instrument (Checklist)</w:t>
      </w:r>
    </w:p>
    <w:p>
      <w:pPr>
        <w:spacing w:after="80" w:before="80"/>
      </w:pPr>
      <w:r>
        <w:rPr>
          <w:rFonts w:ascii="Arial" w:cs="Arial" w:eastAsia="Arial" w:hAnsi="Arial"/>
          <w:b w:val="false"/>
          <w:bCs w:val="false"/>
          <w:color w:val="000000"/>
          <w:sz w:val="22"/>
          <w:szCs w:val="22"/>
        </w:rPr>
        <w:t xml:space="preserve">The following checklist operationalises the seven domains into discrete, answerable questions. It is intended to be completed as a structured interview with the database custodian supplemented by direct programmatic inspection of the source data.</w:t>
      </w:r>
    </w:p>
    <w:p>
      <w:pPr>
        <w:spacing w:after="0" w:before="80"/>
      </w:pPr>
      <w:r>
        <w:t xml:space="preserve"/>
      </w:r>
    </w:p>
    <w:p>
      <w:pPr>
        <w:pStyle w:val="Heading2"/>
        <w:spacing w:after="80" w:before="240"/>
      </w:pPr>
      <w:r>
        <w:rPr>
          <w:rFonts w:ascii="Arial" w:cs="Arial" w:eastAsia="Arial" w:hAnsi="Arial"/>
          <w:b/>
          <w:bCs/>
          <w:color w:val="2E75B6"/>
          <w:sz w:val="24"/>
          <w:szCs w:val="24"/>
        </w:rPr>
        <w:t xml:space="preserve">Domain 1: Data Integrity</w:t>
      </w:r>
    </w:p>
    <w:p>
      <w:pPr>
        <w:pStyle w:val="ListParagraph"/>
        <w:numPr>
          <w:ilvl w:val="0"/>
          <w:numId w:val="2"/>
        </w:numPr>
        <w:spacing w:after="40" w:before="40"/>
      </w:pPr>
      <w:r>
        <w:rPr>
          <w:rFonts w:ascii="Arial" w:cs="Arial" w:eastAsia="Arial" w:hAnsi="Arial"/>
          <w:b w:val="false"/>
          <w:bCs w:val="false"/>
          <w:color w:val="000000"/>
          <w:sz w:val="22"/>
          <w:szCs w:val="22"/>
        </w:rPr>
        <w:t xml:space="preserve">What proportion of records have a parseable systematic name (HGVS-like notation)?</w:t>
      </w:r>
    </w:p>
    <w:p>
      <w:pPr>
        <w:pStyle w:val="ListParagraph"/>
        <w:numPr>
          <w:ilvl w:val="0"/>
          <w:numId w:val="2"/>
        </w:numPr>
        <w:spacing w:after="40" w:before="40"/>
      </w:pPr>
      <w:r>
        <w:rPr>
          <w:rFonts w:ascii="Arial" w:cs="Arial" w:eastAsia="Arial" w:hAnsi="Arial"/>
          <w:b w:val="false"/>
          <w:bCs w:val="false"/>
          <w:color w:val="000000"/>
          <w:sz w:val="22"/>
          <w:szCs w:val="22"/>
        </w:rPr>
        <w:t xml:space="preserve">Are there records with truncated, placeholder, or RNA/protein-only systematic names?</w:t>
      </w:r>
    </w:p>
    <w:p>
      <w:pPr>
        <w:pStyle w:val="ListParagraph"/>
        <w:numPr>
          <w:ilvl w:val="0"/>
          <w:numId w:val="2"/>
        </w:numPr>
        <w:spacing w:after="40" w:before="40"/>
      </w:pPr>
      <w:r>
        <w:rPr>
          <w:rFonts w:ascii="Arial" w:cs="Arial" w:eastAsia="Arial" w:hAnsi="Arial"/>
          <w:b w:val="false"/>
          <w:bCs w:val="false"/>
          <w:color w:val="000000"/>
          <w:sz w:val="22"/>
          <w:szCs w:val="22"/>
        </w:rPr>
        <w:t xml:space="preserve">Are all variant positions within the reference sequence boundaries?</w:t>
      </w:r>
    </w:p>
    <w:p>
      <w:pPr>
        <w:pStyle w:val="ListParagraph"/>
        <w:numPr>
          <w:ilvl w:val="0"/>
          <w:numId w:val="2"/>
        </w:numPr>
        <w:spacing w:after="40" w:before="40"/>
      </w:pPr>
      <w:r>
        <w:rPr>
          <w:rFonts w:ascii="Arial" w:cs="Arial" w:eastAsia="Arial" w:hAnsi="Arial"/>
          <w:b w:val="false"/>
          <w:bCs w:val="false"/>
          <w:color w:val="000000"/>
          <w:sz w:val="22"/>
          <w:szCs w:val="22"/>
        </w:rPr>
        <w:t xml:space="preserve">Are multi-allele sysnames split correctly and unambiguously?</w:t>
      </w:r>
    </w:p>
    <w:p>
      <w:pPr>
        <w:pStyle w:val="ListParagraph"/>
        <w:numPr>
          <w:ilvl w:val="0"/>
          <w:numId w:val="2"/>
        </w:numPr>
        <w:spacing w:after="40" w:before="40"/>
      </w:pPr>
      <w:r>
        <w:rPr>
          <w:rFonts w:ascii="Arial" w:cs="Arial" w:eastAsia="Arial" w:hAnsi="Arial"/>
          <w:b w:val="false"/>
          <w:bCs w:val="false"/>
          <w:color w:val="000000"/>
          <w:sz w:val="22"/>
          <w:szCs w:val="22"/>
        </w:rPr>
        <w:t xml:space="preserve">Have known curation errors (file mismatches, gene symbol discrepancies) been identified and documented?</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2: System &amp; Data Structure Design</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database use a relational model, or is data stored in flat files / HTML?</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unique primary key for every variant record and patient record?</w:t>
      </w:r>
    </w:p>
    <w:p>
      <w:pPr>
        <w:pStyle w:val="ListParagraph"/>
        <w:numPr>
          <w:ilvl w:val="0"/>
          <w:numId w:val="2"/>
        </w:numPr>
        <w:spacing w:after="40" w:before="40"/>
      </w:pPr>
      <w:r>
        <w:rPr>
          <w:rFonts w:ascii="Arial" w:cs="Arial" w:eastAsia="Arial" w:hAnsi="Arial"/>
          <w:b w:val="false"/>
          <w:bCs w:val="false"/>
          <w:color w:val="000000"/>
          <w:sz w:val="22"/>
          <w:szCs w:val="22"/>
        </w:rPr>
        <w:t xml:space="preserve">Are patient-variant relationships explicitly encoded?</w:t>
      </w:r>
    </w:p>
    <w:p>
      <w:pPr>
        <w:pStyle w:val="ListParagraph"/>
        <w:numPr>
          <w:ilvl w:val="0"/>
          <w:numId w:val="2"/>
        </w:numPr>
        <w:spacing w:after="40" w:before="40"/>
      </w:pPr>
      <w:r>
        <w:rPr>
          <w:rFonts w:ascii="Arial" w:cs="Arial" w:eastAsia="Arial" w:hAnsi="Arial"/>
          <w:b w:val="false"/>
          <w:bCs w:val="false"/>
          <w:color w:val="000000"/>
          <w:sz w:val="22"/>
          <w:szCs w:val="22"/>
        </w:rPr>
        <w:t xml:space="preserve">Are field names and semantics documented in a data dictionary?</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platform still actively maintained? Is a clean export path available?</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3: Nomenclature &amp; Coordinate Standardisation</w:t>
      </w:r>
    </w:p>
    <w:p>
      <w:pPr>
        <w:pStyle w:val="ListParagraph"/>
        <w:numPr>
          <w:ilvl w:val="0"/>
          <w:numId w:val="2"/>
        </w:numPr>
        <w:spacing w:after="40" w:before="40"/>
      </w:pPr>
      <w:r>
        <w:rPr>
          <w:rFonts w:ascii="Arial" w:cs="Arial" w:eastAsia="Arial" w:hAnsi="Arial"/>
          <w:b w:val="false"/>
          <w:bCs w:val="false"/>
          <w:color w:val="000000"/>
          <w:sz w:val="22"/>
          <w:szCs w:val="22"/>
        </w:rPr>
        <w:t xml:space="preserve">What genome assembly were variant coordinates originally assigned against?</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original gene reference sequence (IDRefSeq or equivalent) still available?</w:t>
      </w:r>
    </w:p>
    <w:p>
      <w:pPr>
        <w:pStyle w:val="ListParagraph"/>
        <w:numPr>
          <w:ilvl w:val="0"/>
          <w:numId w:val="2"/>
        </w:numPr>
        <w:spacing w:after="40" w:before="40"/>
      </w:pPr>
      <w:r>
        <w:rPr>
          <w:rFonts w:ascii="Arial" w:cs="Arial" w:eastAsia="Arial" w:hAnsi="Arial"/>
          <w:b w:val="false"/>
          <w:bCs w:val="false"/>
          <w:color w:val="000000"/>
          <w:sz w:val="22"/>
          <w:szCs w:val="22"/>
        </w:rPr>
        <w:t xml:space="preserve">Has liftover to GRCh38 been performed? What is the success rate?</w:t>
      </w:r>
    </w:p>
    <w:p>
      <w:pPr>
        <w:pStyle w:val="ListParagraph"/>
        <w:numPr>
          <w:ilvl w:val="0"/>
          <w:numId w:val="2"/>
        </w:numPr>
        <w:spacing w:after="40" w:before="40"/>
      </w:pPr>
      <w:r>
        <w:rPr>
          <w:rFonts w:ascii="Arial" w:cs="Arial" w:eastAsia="Arial" w:hAnsi="Arial"/>
          <w:b w:val="false"/>
          <w:bCs w:val="false"/>
          <w:color w:val="000000"/>
          <w:sz w:val="22"/>
          <w:szCs w:val="22"/>
        </w:rPr>
        <w:t xml:space="preserve">Are systematic names in HGVS-compliant notation? Have they been validated by Mutalyzer or VariantValidator?</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variants referenced against MANE Select transcripts or LRG sequences?</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4: Interoperability &amp; Technical Accessibility</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database expose a REST or SOAP API?</w:t>
      </w:r>
    </w:p>
    <w:p>
      <w:pPr>
        <w:pStyle w:val="ListParagraph"/>
        <w:numPr>
          <w:ilvl w:val="0"/>
          <w:numId w:val="2"/>
        </w:numPr>
        <w:spacing w:after="40" w:before="40"/>
      </w:pPr>
      <w:r>
        <w:rPr>
          <w:rFonts w:ascii="Arial" w:cs="Arial" w:eastAsia="Arial" w:hAnsi="Arial"/>
          <w:b w:val="false"/>
          <w:bCs w:val="false"/>
          <w:color w:val="000000"/>
          <w:sz w:val="22"/>
          <w:szCs w:val="22"/>
        </w:rPr>
        <w:t xml:space="preserve">Is bulk export supported in VCF, TSV, or JSON format?</w:t>
      </w:r>
    </w:p>
    <w:p>
      <w:pPr>
        <w:pStyle w:val="ListParagraph"/>
        <w:numPr>
          <w:ilvl w:val="0"/>
          <w:numId w:val="2"/>
        </w:numPr>
        <w:spacing w:after="40" w:before="40"/>
      </w:pPr>
      <w:r>
        <w:rPr>
          <w:rFonts w:ascii="Arial" w:cs="Arial" w:eastAsia="Arial" w:hAnsi="Arial"/>
          <w:b w:val="false"/>
          <w:bCs w:val="false"/>
          <w:color w:val="000000"/>
          <w:sz w:val="22"/>
          <w:szCs w:val="22"/>
        </w:rPr>
        <w:t xml:space="preserve">Are variant records linked to PubMed, OMIM, Ensembl, or UniProt?</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database indexed by ClinVar, HGMD, GA4GH Beacon, or equivalent?</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5: Curation Quality &amp; Provenance</w:t>
      </w:r>
    </w:p>
    <w:p>
      <w:pPr>
        <w:pStyle w:val="ListParagraph"/>
        <w:numPr>
          <w:ilvl w:val="0"/>
          <w:numId w:val="2"/>
        </w:numPr>
        <w:spacing w:after="40" w:before="40"/>
      </w:pPr>
      <w:r>
        <w:rPr>
          <w:rFonts w:ascii="Arial" w:cs="Arial" w:eastAsia="Arial" w:hAnsi="Arial"/>
          <w:b w:val="false"/>
          <w:bCs w:val="false"/>
          <w:color w:val="000000"/>
          <w:sz w:val="22"/>
          <w:szCs w:val="22"/>
        </w:rPr>
        <w:t xml:space="preserve">Is every variant entry linked to a primary literature source (PubMed ID)?</w:t>
      </w:r>
    </w:p>
    <w:p>
      <w:pPr>
        <w:pStyle w:val="ListParagraph"/>
        <w:numPr>
          <w:ilvl w:val="0"/>
          <w:numId w:val="2"/>
        </w:numPr>
        <w:spacing w:after="40" w:before="40"/>
      </w:pPr>
      <w:r>
        <w:rPr>
          <w:rFonts w:ascii="Arial" w:cs="Arial" w:eastAsia="Arial" w:hAnsi="Arial"/>
          <w:b w:val="false"/>
          <w:bCs w:val="false"/>
          <w:color w:val="000000"/>
          <w:sz w:val="22"/>
          <w:szCs w:val="22"/>
        </w:rPr>
        <w:t xml:space="preserve">Is the reference sequence used at the time of curation explicitly recorded or recoverable?</w:t>
      </w:r>
    </w:p>
    <w:p>
      <w:pPr>
        <w:pStyle w:val="ListParagraph"/>
        <w:numPr>
          <w:ilvl w:val="0"/>
          <w:numId w:val="2"/>
        </w:numPr>
        <w:spacing w:after="40" w:before="40"/>
      </w:pPr>
      <w:r>
        <w:rPr>
          <w:rFonts w:ascii="Arial" w:cs="Arial" w:eastAsia="Arial" w:hAnsi="Arial"/>
          <w:b w:val="false"/>
          <w:bCs w:val="false"/>
          <w:color w:val="000000"/>
          <w:sz w:val="22"/>
          <w:szCs w:val="22"/>
        </w:rPr>
        <w:t xml:space="preserve">Is an ACMG/AMP variant classification or equivalent recorded per entry?</w:t>
      </w:r>
    </w:p>
    <w:p>
      <w:pPr>
        <w:pStyle w:val="ListParagraph"/>
        <w:numPr>
          <w:ilvl w:val="0"/>
          <w:numId w:val="2"/>
        </w:numPr>
        <w:spacing w:after="40" w:before="40"/>
      </w:pPr>
      <w:r>
        <w:rPr>
          <w:rFonts w:ascii="Arial" w:cs="Arial" w:eastAsia="Arial" w:hAnsi="Arial"/>
          <w:b w:val="false"/>
          <w:bCs w:val="false"/>
          <w:color w:val="000000"/>
          <w:sz w:val="22"/>
          <w:szCs w:val="22"/>
        </w:rPr>
        <w:t xml:space="preserve">Is phenotypic data captured per patient, and is it HPO-coded or free text?</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6: Documentation &amp; Metadata Completeness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formal data dictionary defining all fields, types, and allowed values?</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version-controlled record of schema changes?</w:t>
      </w:r>
    </w:p>
    <w:p>
      <w:pPr>
        <w:pStyle w:val="ListParagraph"/>
        <w:numPr>
          <w:ilvl w:val="0"/>
          <w:numId w:val="2"/>
        </w:numPr>
        <w:spacing w:after="40" w:before="40"/>
      </w:pPr>
      <w:r>
        <w:rPr>
          <w:rFonts w:ascii="Arial" w:cs="Arial" w:eastAsia="Arial" w:hAnsi="Arial"/>
          <w:b w:val="false"/>
          <w:bCs w:val="false"/>
          <w:color w:val="000000"/>
          <w:sz w:val="22"/>
          <w:szCs w:val="22"/>
        </w:rPr>
        <w:t xml:space="preserve">Are known data anomalies and exceptions documented in an anomaly register?</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 curation manual describing the submission and review workflow?</w:t>
      </w:r>
    </w:p>
    <w:p>
      <w:pPr>
        <w:spacing w:after="0" w:before="40"/>
      </w:pPr>
      <w:r>
        <w:t xml:space="preserve"/>
      </w:r>
    </w:p>
    <w:p>
      <w:pPr>
        <w:pStyle w:val="Heading2"/>
        <w:spacing w:after="80" w:before="240"/>
      </w:pPr>
      <w:r>
        <w:rPr>
          <w:rFonts w:ascii="Arial" w:cs="Arial" w:eastAsia="Arial" w:hAnsi="Arial"/>
          <w:b/>
          <w:bCs/>
          <w:color w:val="2E75B6"/>
          <w:sz w:val="24"/>
          <w:szCs w:val="24"/>
        </w:rPr>
        <w:t xml:space="preserve">Domain 7: Maintenance &amp; Operational Continuity</w:t>
      </w:r>
    </w:p>
    <w:p>
      <w:pPr>
        <w:pStyle w:val="ListParagraph"/>
        <w:numPr>
          <w:ilvl w:val="0"/>
          <w:numId w:val="2"/>
        </w:numPr>
        <w:spacing w:after="40" w:before="40"/>
      </w:pPr>
      <w:r>
        <w:rPr>
          <w:rFonts w:ascii="Arial" w:cs="Arial" w:eastAsia="Arial" w:hAnsi="Arial"/>
          <w:b w:val="false"/>
          <w:bCs w:val="false"/>
          <w:color w:val="000000"/>
          <w:sz w:val="22"/>
          <w:szCs w:val="22"/>
        </w:rPr>
        <w:t xml:space="preserve">When was the most recent variant record added or modified?</w:t>
      </w:r>
    </w:p>
    <w:p>
      <w:pPr>
        <w:pStyle w:val="ListParagraph"/>
        <w:numPr>
          <w:ilvl w:val="0"/>
          <w:numId w:val="2"/>
        </w:numPr>
        <w:spacing w:after="40" w:before="40"/>
      </w:pPr>
      <w:r>
        <w:rPr>
          <w:rFonts w:ascii="Arial" w:cs="Arial" w:eastAsia="Arial" w:hAnsi="Arial"/>
          <w:b w:val="false"/>
          <w:bCs w:val="false"/>
          <w:color w:val="000000"/>
          <w:sz w:val="22"/>
          <w:szCs w:val="22"/>
        </w:rPr>
        <w:t xml:space="preserve">Is custodianship held by a team or institution, or by a single individual?</w:t>
      </w:r>
    </w:p>
    <w:p>
      <w:pPr>
        <w:pStyle w:val="ListParagraph"/>
        <w:numPr>
          <w:ilvl w:val="0"/>
          <w:numId w:val="2"/>
        </w:numPr>
        <w:spacing w:after="40" w:before="40"/>
      </w:pPr>
      <w:r>
        <w:rPr>
          <w:rFonts w:ascii="Arial" w:cs="Arial" w:eastAsia="Arial" w:hAnsi="Arial"/>
          <w:b w:val="false"/>
          <w:bCs w:val="false"/>
          <w:color w:val="000000"/>
          <w:sz w:val="22"/>
          <w:szCs w:val="22"/>
        </w:rPr>
        <w:t xml:space="preserve">Is there an institutional commitment to long-term hosting?</w:t>
      </w:r>
    </w:p>
    <w:p>
      <w:pPr>
        <w:pStyle w:val="ListParagraph"/>
        <w:numPr>
          <w:ilvl w:val="0"/>
          <w:numId w:val="2"/>
        </w:numPr>
        <w:spacing w:after="40" w:before="40"/>
      </w:pPr>
      <w:r>
        <w:rPr>
          <w:rFonts w:ascii="Arial" w:cs="Arial" w:eastAsia="Arial" w:hAnsi="Arial"/>
          <w:b w:val="false"/>
          <w:bCs w:val="false"/>
          <w:color w:val="000000"/>
          <w:sz w:val="22"/>
          <w:szCs w:val="22"/>
        </w:rPr>
        <w:t xml:space="preserve">Does the database accept external submissions from the research community?</w:t>
      </w:r>
    </w:p>
    <w:p>
      <w:pPr>
        <w:spacing w:after="0" w:before="40"/>
      </w:pPr>
      <w:r>
        <w:t xml:space="preserve"/>
      </w:r>
    </w:p>
    <w:p>
      <w:pPr>
        <w:pageBreakBefore/>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Relationship to the IDbases Migration Pipeline</w:t>
      </w:r>
    </w:p>
    <w:p>
      <w:pPr>
        <w:spacing w:after="80" w:before="80"/>
      </w:pPr>
      <w:r>
        <w:rPr>
          <w:rFonts w:ascii="Arial" w:cs="Arial" w:eastAsia="Arial" w:hAnsi="Arial"/>
          <w:b w:val="false"/>
          <w:bCs w:val="false"/>
          <w:color w:val="000000"/>
          <w:sz w:val="22"/>
          <w:szCs w:val="22"/>
        </w:rPr>
        <w:t xml:space="preserve">This evaluation framework was developed concurrently with — and is directly informed by — the IDbases-to-LOVD migration pipeline documented in pipeline_documentation_v5.docx. The IDbases system scores approximately as follows against this framework, based on experience accumulated through Steps 1–5 of the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Domain 1 — Data Integrity</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Fair (8–12): 7,276 of 7,341 records in clean set; 65 records excluded due to systematic quality issues; 14 ambiguous multi-allele entries; 5 genes with OOB positions; 2 confirmed curation-error reference files.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Domain 2 — System &amp; Data Structure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Fair (8–12): Flat-file HTML with structured plain-text encoding; no relational DB or API; gene-local coordinate system (IDRefSeq); MUTbase platform outdated but data extractable via custom parser.</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Domain 3 — Nomenclature</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Fair (8–12): Pre-GRCh38 coordinates (hg16/17/18); HGVS-like but non-standard notation; multi-build BLAST strategy and liftover applied; Mutalyzer normalisation (Step 6) in progress.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Domain 4 — Interoperability</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Poor (0–4): No API; no bulk export; HTML scraping only; some PubMed and Ensembl links in source HTML but not systematically queryable.</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Domain 5 — Curation Quality</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Fair (3–5): PubMed links recoverable via extract_origin_papers.py; reference sequence per article requires Entrez lookup; no formal ACMG classification; phenotype data limited.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Domain 6 — Documentation</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Fair (3–5): idbases_standards_and_recommendations.php provides partial field definitions; no formal data dictionary; anomalies now documented in pipeline_documentation_v5.docx.</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Domain 7 — Maintenance</w:t>
            </w:r>
          </w:p>
        </w:tc>
        <w:tc>
          <w:tcPr>
            <w:tcW w:type="dxa" w:w="65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Fair (1–2): Database largely static; single institutional custodian; no external submission mechanism; migration motivated in part by maintenance cost.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Estimated Total</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Approx. 30–50 pts → Tier 1/Tier 2 boundary. Confirms the need for a full remediation pipeline before LOVD import.</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Next Steps &amp; Open Questions</w:t>
      </w:r>
    </w:p>
    <w:p>
      <w:pPr>
        <w:spacing w:after="80" w:before="80"/>
      </w:pPr>
      <w:r>
        <w:rPr>
          <w:rFonts w:ascii="Arial" w:cs="Arial" w:eastAsia="Arial" w:hAnsi="Arial"/>
          <w:b w:val="false"/>
          <w:bCs w:val="false"/>
          <w:color w:val="000000"/>
          <w:sz w:val="22"/>
          <w:szCs w:val="22"/>
        </w:rPr>
        <w:t xml:space="preserve">The following items are outstanding and should be resolved as the evaluation framework is refined and applied to additional databases: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Complete Mutalyzer normalisation (Step 6) and record the final HGVS compliance rate for IDbases — this will update the Domain 3 score.</w:t>
      </w:r>
    </w:p>
    <w:p>
      <w:pPr>
        <w:pStyle w:val="ListParagraph"/>
        <w:numPr>
          <w:ilvl w:val="0"/>
          <w:numId w:val="2"/>
        </w:numPr>
        <w:spacing w:after="40" w:before="40"/>
      </w:pPr>
      <w:r>
        <w:rPr>
          <w:rFonts w:ascii="Arial" w:cs="Arial" w:eastAsia="Arial" w:hAnsi="Arial"/>
          <w:b w:val="false"/>
          <w:bCs w:val="false"/>
          <w:color w:val="000000"/>
          <w:sz w:val="22"/>
          <w:szCs w:val="22"/>
        </w:rPr>
        <w:t xml:space="preserve">Develop an automated scoring script that ingests the output of Steps 1–6 and produces a domain-level scorecard for any IDbases-compatible database.</w:t>
      </w:r>
    </w:p>
    <w:p>
      <w:pPr>
        <w:pStyle w:val="ListParagraph"/>
        <w:numPr>
          <w:ilvl w:val="0"/>
          <w:numId w:val="2"/>
        </w:numPr>
        <w:spacing w:after="40" w:before="40"/>
      </w:pPr>
      <w:r>
        <w:rPr>
          <w:rFonts w:ascii="Arial" w:cs="Arial" w:eastAsia="Arial" w:hAnsi="Arial"/>
          <w:b w:val="false"/>
          <w:bCs w:val="false"/>
          <w:color w:val="000000"/>
          <w:sz w:val="22"/>
          <w:szCs w:val="22"/>
        </w:rPr>
        <w:t xml:space="preserve">Extend the framework to cancer and rare disease databases: identify whether the same seven domains are sufficient, or whether additional domains (e.g., somatic vs germline variant handling, structural variant support) are needed for oncology databases.</w:t>
      </w:r>
    </w:p>
    <w:p>
      <w:pPr>
        <w:pStyle w:val="ListParagraph"/>
        <w:numPr>
          <w:ilvl w:val="0"/>
          <w:numId w:val="2"/>
        </w:numPr>
        <w:spacing w:after="40" w:before="40"/>
      </w:pPr>
      <w:r>
        <w:rPr>
          <w:rFonts w:ascii="Arial" w:cs="Arial" w:eastAsia="Arial" w:hAnsi="Arial"/>
          <w:b w:val="false"/>
          <w:bCs w:val="false"/>
          <w:color w:val="000000"/>
          <w:sz w:val="22"/>
          <w:szCs w:val="22"/>
        </w:rPr>
        <w:t xml:space="preserve">Pilot the framework on at least two additional legacy databases from collaborating institutions to validate inter-evaluator reliability and calibrate the scoring thresholds.</w:t>
      </w:r>
    </w:p>
    <w:p>
      <w:pPr>
        <w:pStyle w:val="ListParagraph"/>
        <w:numPr>
          <w:ilvl w:val="0"/>
          <w:numId w:val="2"/>
        </w:numPr>
        <w:spacing w:after="40" w:before="40"/>
      </w:pPr>
      <w:r>
        <w:rPr>
          <w:rFonts w:ascii="Arial" w:cs="Arial" w:eastAsia="Arial" w:hAnsi="Arial"/>
          <w:b w:val="false"/>
          <w:bCs w:val="false"/>
          <w:color w:val="000000"/>
          <w:sz w:val="22"/>
          <w:szCs w:val="22"/>
        </w:rPr>
        <w:t xml:space="preserve">Define the minimum viable dataset required for a Tier 1 database to be considered migration-ready (i.e., the subset of records that can be migrated with high confidence while the remainder undergoes further curation).</w:t>
      </w:r>
    </w:p>
    <w:p>
      <w:pPr>
        <w:pStyle w:val="ListParagraph"/>
        <w:numPr>
          <w:ilvl w:val="0"/>
          <w:numId w:val="2"/>
        </w:numPr>
        <w:spacing w:after="40" w:before="40"/>
      </w:pPr>
      <w:r>
        <w:rPr>
          <w:rFonts w:ascii="Arial" w:cs="Arial" w:eastAsia="Arial" w:hAnsi="Arial"/>
          <w:b w:val="false"/>
          <w:bCs w:val="false"/>
          <w:color w:val="000000"/>
          <w:sz w:val="22"/>
          <w:szCs w:val="22"/>
        </w:rPr>
        <w:t xml:space="preserve">Assess GDPR and patient data anonymisation requirements for databases holding patient-level variant data, particularly for datasets originating from developing countries with different regulatory frameworks.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color w:val="E08000"/>
                <w:sz w:val="18"/>
                <w:szCs w:val="18"/>
              </w:rPr>
              <w:t xml:space="preserve">Document status: DRAFT for review and discussion. Not for external distribution.</w:t>
            </w:r>
          </w:p>
          <w:p>
            <w:pPr>
              <w:spacing w:after="0" w:before="0"/>
            </w:pPr>
            <w:r>
              <w:rPr>
                <w:rFonts w:ascii="Arial" w:cs="Arial" w:eastAsia="Arial" w:hAnsi="Arial"/>
                <w:color w:val="888888"/>
                <w:sz w:val="18"/>
                <w:szCs w:val="18"/>
              </w:rPr>
              <w:t xml:space="preserve">Lund University Thesis Project  |  Khoi  |  March 2026  |  Relates to pipeline_documentation_v5.docx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0"/>
    </w:pPr>
    <w:r>
      <w:rPr>
        <w:rFonts w:ascii="Arial" w:cs="Arial" w:eastAsia="Arial" w:hAnsi="Arial"/>
        <w:color w:val="888888"/>
        <w:sz w:val="18"/>
        <w:szCs w:val="18"/>
      </w:rPr>
      <w:t xml:space="preserve">Lund University Thesis Project  |  Khoi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0" w:before="0"/>
    </w:pPr>
    <w:r>
      <w:rPr>
        <w:rFonts w:ascii="Arial" w:cs="Arial" w:eastAsia="Arial" w:hAnsi="Arial"/>
        <w:color w:val="888888"/>
        <w:sz w:val="18"/>
        <w:szCs w:val="18"/>
      </w:rPr>
      <w:t xml:space="preserve">Legacy Biomedical Variant Database — Evaluation Framework</w:t>
    </w:r>
    <w:r>
      <w:rPr>
        <w:rFonts w:ascii="Arial" w:cs="Arial" w:eastAsia="Arial" w:hAnsi="Arial"/>
        <w:sz w:val="18"/>
        <w:szCs w:val="18"/>
      </w:rPr>
      <w:t xml:space="preserve">		</w:t>
    </w:r>
    <w:r>
      <w:rPr>
        <w:rFonts w:ascii="Arial" w:cs="Arial" w:eastAsia="Arial" w:hAnsi="Arial"/>
        <w:b/>
        <w:bCs/>
        <w:color w:val="888888"/>
        <w:sz w:val="18"/>
        <w:szCs w:val="18"/>
      </w:rPr>
      <w:t xml:space="preserve">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2026-03-15T01:12:59.640Z</dcterms:created>
  <dcterms:modified xsi:type="dcterms:W3CDTF">2026-03-15T01:12:59.640Z</dcterms:modified>
</cp:coreProperties>
</file>

<file path=docProps/custom.xml><?xml version="1.0" encoding="utf-8"?>
<Properties xmlns="http://schemas.openxmlformats.org/officeDocument/2006/custom-properties" xmlns:vt="http://schemas.openxmlformats.org/officeDocument/2006/docPropsVTypes"/>
</file>