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35A150" w14:textId="77777777" w:rsidR="00A4196C" w:rsidRPr="00381F50" w:rsidRDefault="00000000">
      <w:pPr>
        <w:spacing w:after="80"/>
        <w:rPr>
          <w:rFonts w:ascii="Calibri" w:hAnsi="Calibri" w:cs="Calibri"/>
          <w:color w:val="000000" w:themeColor="text1"/>
        </w:rPr>
      </w:pPr>
      <w:r w:rsidRPr="00381F50">
        <w:rPr>
          <w:rFonts w:ascii="Calibri" w:eastAsia="Arial" w:hAnsi="Calibri" w:cs="Calibri"/>
          <w:b/>
          <w:bCs/>
          <w:color w:val="000000" w:themeColor="text1"/>
          <w:sz w:val="36"/>
          <w:szCs w:val="36"/>
        </w:rPr>
        <w:t>The Courage to Speak: Communication, Conflict, and What Silence Costs Us</w:t>
      </w:r>
    </w:p>
    <w:p w14:paraId="6A7A7FA8" w14:textId="77777777" w:rsidR="00A4196C" w:rsidRPr="00381F50" w:rsidRDefault="00000000">
      <w:pPr>
        <w:spacing w:after="40"/>
        <w:rPr>
          <w:rFonts w:ascii="Calibri" w:hAnsi="Calibri" w:cs="Calibri"/>
          <w:color w:val="000000" w:themeColor="text1"/>
        </w:rPr>
      </w:pPr>
      <w:r w:rsidRPr="00381F50">
        <w:rPr>
          <w:rFonts w:ascii="Calibri" w:eastAsia="Arial" w:hAnsi="Calibri" w:cs="Calibri"/>
          <w:i/>
          <w:iCs/>
          <w:color w:val="000000" w:themeColor="text1"/>
          <w:sz w:val="22"/>
          <w:szCs w:val="22"/>
        </w:rPr>
        <w:t>By Matthew Johnson, AICP | Town of Jamestown, NC</w:t>
      </w:r>
    </w:p>
    <w:p w14:paraId="49E1280C" w14:textId="77777777" w:rsidR="00381F50" w:rsidRPr="00381F50" w:rsidRDefault="00381F50">
      <w:pPr>
        <w:spacing w:after="160"/>
        <w:rPr>
          <w:rFonts w:ascii="Calibri" w:eastAsia="Arial" w:hAnsi="Calibri" w:cs="Calibri"/>
          <w:color w:val="000000" w:themeColor="text1"/>
        </w:rPr>
      </w:pPr>
    </w:p>
    <w:p w14:paraId="6CCF6843" w14:textId="1091F142" w:rsidR="00A4196C" w:rsidRPr="00381F50" w:rsidRDefault="00000000">
      <w:pPr>
        <w:spacing w:after="160"/>
        <w:rPr>
          <w:rFonts w:ascii="Calibri" w:hAnsi="Calibri" w:cs="Calibri"/>
          <w:color w:val="000000" w:themeColor="text1"/>
        </w:rPr>
      </w:pPr>
      <w:r w:rsidRPr="00381F50">
        <w:rPr>
          <w:rFonts w:ascii="Calibri" w:eastAsia="Georgia" w:hAnsi="Calibri" w:cs="Calibri"/>
          <w:color w:val="000000" w:themeColor="text1"/>
          <w:sz w:val="24"/>
          <w:szCs w:val="24"/>
        </w:rPr>
        <w:t xml:space="preserve">The room was packed. A regional fast-food chain had applied for a rezoning, and the residents of a small North Carolina town had shown up to stop it. You could feel it before the meeting called to order, that </w:t>
      </w:r>
      <w:proofErr w:type="gramStart"/>
      <w:r w:rsidRPr="00381F50">
        <w:rPr>
          <w:rFonts w:ascii="Calibri" w:eastAsia="Georgia" w:hAnsi="Calibri" w:cs="Calibri"/>
          <w:color w:val="000000" w:themeColor="text1"/>
          <w:sz w:val="24"/>
          <w:szCs w:val="24"/>
        </w:rPr>
        <w:t>particular sense</w:t>
      </w:r>
      <w:proofErr w:type="gramEnd"/>
      <w:r w:rsidRPr="00381F50">
        <w:rPr>
          <w:rFonts w:ascii="Calibri" w:eastAsia="Georgia" w:hAnsi="Calibri" w:cs="Calibri"/>
          <w:color w:val="000000" w:themeColor="text1"/>
          <w:sz w:val="24"/>
          <w:szCs w:val="24"/>
        </w:rPr>
        <w:t xml:space="preserve"> of organized displeasure every planner eventually learns to dread.</w:t>
      </w:r>
    </w:p>
    <w:p w14:paraId="6BDFB76A" w14:textId="77777777" w:rsidR="00A4196C" w:rsidRPr="00381F50" w:rsidRDefault="00A4196C">
      <w:pPr>
        <w:spacing w:after="60"/>
        <w:rPr>
          <w:rFonts w:ascii="Calibri" w:hAnsi="Calibri" w:cs="Calibri"/>
          <w:color w:val="000000" w:themeColor="text1"/>
        </w:rPr>
      </w:pPr>
    </w:p>
    <w:p w14:paraId="008C5F10" w14:textId="77777777" w:rsidR="00A4196C" w:rsidRPr="00381F50" w:rsidRDefault="00000000">
      <w:pPr>
        <w:spacing w:after="160"/>
        <w:rPr>
          <w:rFonts w:ascii="Calibri" w:hAnsi="Calibri" w:cs="Calibri"/>
          <w:color w:val="000000" w:themeColor="text1"/>
        </w:rPr>
      </w:pPr>
      <w:r w:rsidRPr="00381F50">
        <w:rPr>
          <w:rFonts w:ascii="Calibri" w:eastAsia="Georgia" w:hAnsi="Calibri" w:cs="Calibri"/>
          <w:color w:val="000000" w:themeColor="text1"/>
          <w:sz w:val="24"/>
          <w:szCs w:val="24"/>
        </w:rPr>
        <w:t>A young planner stepped to the podium. He had just finished the town's first comprehensive plan update in over forty years, a process that had taken months and involved hundreds of residents. The proposed site was designated for exactly this kind of commercial use. The plan was clear.</w:t>
      </w:r>
    </w:p>
    <w:p w14:paraId="24279E8A" w14:textId="77777777" w:rsidR="00A4196C" w:rsidRPr="00381F50" w:rsidRDefault="00A4196C">
      <w:pPr>
        <w:spacing w:after="60"/>
        <w:rPr>
          <w:rFonts w:ascii="Calibri" w:hAnsi="Calibri" w:cs="Calibri"/>
          <w:color w:val="000000" w:themeColor="text1"/>
        </w:rPr>
      </w:pPr>
    </w:p>
    <w:p w14:paraId="2AB5BB47" w14:textId="4AA5B358" w:rsidR="00A4196C" w:rsidRPr="00381F50" w:rsidRDefault="00000000">
      <w:pPr>
        <w:spacing w:after="160"/>
        <w:rPr>
          <w:rFonts w:ascii="Calibri" w:hAnsi="Calibri" w:cs="Calibri"/>
          <w:color w:val="000000" w:themeColor="text1"/>
        </w:rPr>
      </w:pPr>
      <w:proofErr w:type="gramStart"/>
      <w:r w:rsidRPr="00381F50">
        <w:rPr>
          <w:rFonts w:ascii="Calibri" w:eastAsia="Georgia" w:hAnsi="Calibri" w:cs="Calibri"/>
          <w:color w:val="000000" w:themeColor="text1"/>
          <w:sz w:val="24"/>
          <w:szCs w:val="24"/>
        </w:rPr>
        <w:t>So</w:t>
      </w:r>
      <w:proofErr w:type="gramEnd"/>
      <w:r w:rsidRPr="00381F50">
        <w:rPr>
          <w:rFonts w:ascii="Calibri" w:eastAsia="Georgia" w:hAnsi="Calibri" w:cs="Calibri"/>
          <w:color w:val="000000" w:themeColor="text1"/>
          <w:sz w:val="24"/>
          <w:szCs w:val="24"/>
        </w:rPr>
        <w:t xml:space="preserve"> he told them. He told the room full of angry residents that they were wrong. That they should have showed up before the plan was done. That the plan supported the rezoning.</w:t>
      </w:r>
      <w:r w:rsidR="00381F50" w:rsidRPr="00381F50">
        <w:rPr>
          <w:rFonts w:ascii="Calibri" w:hAnsi="Calibri" w:cs="Calibri"/>
          <w:color w:val="000000" w:themeColor="text1"/>
        </w:rPr>
        <w:t xml:space="preserve">  </w:t>
      </w:r>
      <w:r w:rsidRPr="00381F50">
        <w:rPr>
          <w:rFonts w:ascii="Calibri" w:eastAsia="Georgia" w:hAnsi="Calibri" w:cs="Calibri"/>
          <w:color w:val="000000" w:themeColor="text1"/>
          <w:sz w:val="24"/>
          <w:szCs w:val="24"/>
        </w:rPr>
        <w:t>The gasps came first. Then the groans. Then pure outrage. The audience wanted that planner fired.</w:t>
      </w:r>
    </w:p>
    <w:p w14:paraId="18DE6870" w14:textId="77777777" w:rsidR="00A4196C" w:rsidRPr="00381F50" w:rsidRDefault="00A4196C">
      <w:pPr>
        <w:spacing w:after="60"/>
        <w:rPr>
          <w:rFonts w:ascii="Calibri" w:hAnsi="Calibri" w:cs="Calibri"/>
          <w:color w:val="000000" w:themeColor="text1"/>
        </w:rPr>
      </w:pPr>
    </w:p>
    <w:p w14:paraId="27595BC4" w14:textId="77777777" w:rsidR="00A4196C" w:rsidRPr="00381F50" w:rsidRDefault="00000000">
      <w:pPr>
        <w:spacing w:after="160"/>
        <w:rPr>
          <w:rFonts w:ascii="Calibri" w:hAnsi="Calibri" w:cs="Calibri"/>
          <w:color w:val="000000" w:themeColor="text1"/>
        </w:rPr>
      </w:pPr>
      <w:r w:rsidRPr="00381F50">
        <w:rPr>
          <w:rFonts w:ascii="Calibri" w:eastAsia="Georgia" w:hAnsi="Calibri" w:cs="Calibri"/>
          <w:color w:val="000000" w:themeColor="text1"/>
          <w:sz w:val="24"/>
          <w:szCs w:val="24"/>
        </w:rPr>
        <w:t>That planner was me.</w:t>
      </w:r>
    </w:p>
    <w:p w14:paraId="2A224832" w14:textId="77777777" w:rsidR="00A4196C" w:rsidRPr="00381F50" w:rsidRDefault="00A4196C">
      <w:pPr>
        <w:spacing w:after="60"/>
        <w:rPr>
          <w:rFonts w:ascii="Calibri" w:hAnsi="Calibri" w:cs="Calibri"/>
          <w:color w:val="000000" w:themeColor="text1"/>
        </w:rPr>
      </w:pPr>
    </w:p>
    <w:p w14:paraId="0DB1104C" w14:textId="414E57AB" w:rsidR="00A4196C" w:rsidRPr="00381F50" w:rsidRDefault="00000000" w:rsidP="00381F50">
      <w:pPr>
        <w:spacing w:after="160"/>
        <w:rPr>
          <w:rFonts w:ascii="Calibri" w:hAnsi="Calibri" w:cs="Calibri"/>
          <w:color w:val="000000" w:themeColor="text1"/>
        </w:rPr>
      </w:pPr>
      <w:r w:rsidRPr="00381F50">
        <w:rPr>
          <w:rFonts w:ascii="Calibri" w:eastAsia="Georgia" w:hAnsi="Calibri" w:cs="Calibri"/>
          <w:color w:val="000000" w:themeColor="text1"/>
          <w:sz w:val="24"/>
          <w:szCs w:val="24"/>
        </w:rPr>
        <w:t xml:space="preserve">I've spent the last sixteen years trying to correct what I did in that room. What I got wrong wasn't the substance; the plan really did support the use. It was the framing, the posture, the failure to understand that being right and being effective are not the same thing. That </w:t>
      </w:r>
      <w:r w:rsidR="00A904E6">
        <w:rPr>
          <w:rFonts w:ascii="Calibri" w:eastAsia="Georgia" w:hAnsi="Calibri" w:cs="Calibri"/>
          <w:color w:val="000000" w:themeColor="text1"/>
          <w:sz w:val="24"/>
          <w:szCs w:val="24"/>
        </w:rPr>
        <w:t>that I learned that</w:t>
      </w:r>
      <w:r w:rsidRPr="00381F50">
        <w:rPr>
          <w:rFonts w:ascii="Calibri" w:eastAsia="Georgia" w:hAnsi="Calibri" w:cs="Calibri"/>
          <w:color w:val="000000" w:themeColor="text1"/>
          <w:sz w:val="24"/>
          <w:szCs w:val="24"/>
        </w:rPr>
        <w:t xml:space="preserve"> </w:t>
      </w:r>
      <w:r w:rsidRPr="00A904E6">
        <w:rPr>
          <w:rFonts w:ascii="Calibri" w:eastAsia="Georgia" w:hAnsi="Calibri" w:cs="Calibri"/>
          <w:b/>
          <w:bCs/>
          <w:i/>
          <w:iCs/>
          <w:color w:val="000000" w:themeColor="text1"/>
          <w:sz w:val="24"/>
          <w:szCs w:val="24"/>
        </w:rPr>
        <w:t>how</w:t>
      </w:r>
      <w:r w:rsidRPr="00381F50">
        <w:rPr>
          <w:rFonts w:ascii="Calibri" w:eastAsia="Georgia" w:hAnsi="Calibri" w:cs="Calibri"/>
          <w:color w:val="000000" w:themeColor="text1"/>
          <w:sz w:val="24"/>
          <w:szCs w:val="24"/>
        </w:rPr>
        <w:t xml:space="preserve"> you say something determines whether anything happens at all.</w:t>
      </w:r>
    </w:p>
    <w:p w14:paraId="5CCADC38" w14:textId="77777777" w:rsidR="00A4196C" w:rsidRPr="00381F50" w:rsidRDefault="00000000">
      <w:pPr>
        <w:spacing w:before="320" w:after="120"/>
        <w:rPr>
          <w:rFonts w:ascii="Calibri" w:hAnsi="Calibri" w:cs="Calibri"/>
          <w:color w:val="000000" w:themeColor="text1"/>
        </w:rPr>
      </w:pPr>
      <w:r w:rsidRPr="00381F50">
        <w:rPr>
          <w:rFonts w:ascii="Calibri" w:eastAsia="Arial" w:hAnsi="Calibri" w:cs="Calibri"/>
          <w:b/>
          <w:bCs/>
          <w:color w:val="000000" w:themeColor="text1"/>
          <w:sz w:val="26"/>
          <w:szCs w:val="26"/>
        </w:rPr>
        <w:t>THE HOSTILE-CITIZEN PROBLEM</w:t>
      </w:r>
    </w:p>
    <w:p w14:paraId="6D6F49C8" w14:textId="77777777" w:rsidR="00A4196C" w:rsidRPr="00381F50" w:rsidRDefault="00A4196C">
      <w:pPr>
        <w:spacing w:after="60"/>
        <w:rPr>
          <w:rFonts w:ascii="Calibri" w:hAnsi="Calibri" w:cs="Calibri"/>
          <w:color w:val="000000" w:themeColor="text1"/>
        </w:rPr>
      </w:pPr>
    </w:p>
    <w:p w14:paraId="616E7038" w14:textId="77777777" w:rsidR="00A4196C" w:rsidRPr="00381F50" w:rsidRDefault="00000000">
      <w:pPr>
        <w:spacing w:after="160"/>
        <w:rPr>
          <w:rFonts w:ascii="Calibri" w:hAnsi="Calibri" w:cs="Calibri"/>
          <w:color w:val="000000" w:themeColor="text1"/>
        </w:rPr>
      </w:pPr>
      <w:r w:rsidRPr="00381F50">
        <w:rPr>
          <w:rFonts w:ascii="Calibri" w:eastAsia="Georgia" w:hAnsi="Calibri" w:cs="Calibri"/>
          <w:color w:val="000000" w:themeColor="text1"/>
          <w:sz w:val="24"/>
          <w:szCs w:val="24"/>
        </w:rPr>
        <w:t>The reality is that something has shifted in public engagement. Planners are showing up to hearings facing organized opposition with coordinated talking points, and the hostility isn't always about the project. Residents who haven't been organized or bused in get crowded out of the process.</w:t>
      </w:r>
    </w:p>
    <w:p w14:paraId="64D40A34" w14:textId="77777777" w:rsidR="00A4196C" w:rsidRPr="00381F50" w:rsidRDefault="00A4196C">
      <w:pPr>
        <w:spacing w:after="60"/>
        <w:rPr>
          <w:rFonts w:ascii="Calibri" w:hAnsi="Calibri" w:cs="Calibri"/>
          <w:color w:val="000000" w:themeColor="text1"/>
        </w:rPr>
      </w:pPr>
    </w:p>
    <w:p w14:paraId="35986261" w14:textId="77777777" w:rsidR="00A4196C" w:rsidRPr="00381F50" w:rsidRDefault="00000000">
      <w:pPr>
        <w:spacing w:after="160"/>
        <w:rPr>
          <w:rFonts w:ascii="Calibri" w:hAnsi="Calibri" w:cs="Calibri"/>
          <w:color w:val="000000" w:themeColor="text1"/>
        </w:rPr>
      </w:pPr>
      <w:r w:rsidRPr="00381F50">
        <w:rPr>
          <w:rFonts w:ascii="Calibri" w:eastAsia="Georgia" w:hAnsi="Calibri" w:cs="Calibri"/>
          <w:color w:val="000000" w:themeColor="text1"/>
          <w:sz w:val="24"/>
          <w:szCs w:val="24"/>
        </w:rPr>
        <w:t>Let me say the quiet part out loud: it hurts. There is a specific wound that comes from standing in front of people you genuinely serve and being met with contempt, and planners almost never talk about it. We replay it at 2 a.m. And then we show up and do it again.</w:t>
      </w:r>
    </w:p>
    <w:p w14:paraId="3202F5E3" w14:textId="77777777" w:rsidR="00A4196C" w:rsidRPr="00381F50" w:rsidRDefault="00A4196C">
      <w:pPr>
        <w:spacing w:after="60"/>
        <w:rPr>
          <w:rFonts w:ascii="Calibri" w:hAnsi="Calibri" w:cs="Calibri"/>
          <w:color w:val="000000" w:themeColor="text1"/>
        </w:rPr>
      </w:pPr>
    </w:p>
    <w:p w14:paraId="369FC65B" w14:textId="77777777" w:rsidR="00A4196C" w:rsidRPr="00381F50" w:rsidRDefault="00000000">
      <w:pPr>
        <w:spacing w:after="160"/>
        <w:rPr>
          <w:rFonts w:ascii="Calibri" w:hAnsi="Calibri" w:cs="Calibri"/>
          <w:color w:val="000000" w:themeColor="text1"/>
        </w:rPr>
      </w:pPr>
      <w:r w:rsidRPr="00381F50">
        <w:rPr>
          <w:rFonts w:ascii="Calibri" w:eastAsia="Georgia" w:hAnsi="Calibri" w:cs="Calibri"/>
          <w:color w:val="000000" w:themeColor="text1"/>
          <w:sz w:val="24"/>
          <w:szCs w:val="24"/>
        </w:rPr>
        <w:t xml:space="preserve">What works starts with depersonalization: the hostility aimed at you is almost never about you. It's aimed at the role, the process, the change the project represents. Before a contentious </w:t>
      </w:r>
      <w:r w:rsidRPr="00381F50">
        <w:rPr>
          <w:rFonts w:ascii="Calibri" w:eastAsia="Georgia" w:hAnsi="Calibri" w:cs="Calibri"/>
          <w:color w:val="000000" w:themeColor="text1"/>
          <w:sz w:val="24"/>
          <w:szCs w:val="24"/>
        </w:rPr>
        <w:lastRenderedPageBreak/>
        <w:t>meeting, I remind myself I am playing a character that can absorb things Matthew Johnson cannot.</w:t>
      </w:r>
    </w:p>
    <w:p w14:paraId="2A895013" w14:textId="77777777" w:rsidR="00A4196C" w:rsidRPr="00381F50" w:rsidRDefault="00A4196C">
      <w:pPr>
        <w:spacing w:after="60"/>
        <w:rPr>
          <w:rFonts w:ascii="Calibri" w:hAnsi="Calibri" w:cs="Calibri"/>
          <w:color w:val="000000" w:themeColor="text1"/>
        </w:rPr>
      </w:pPr>
    </w:p>
    <w:p w14:paraId="70D1B986" w14:textId="41E57AAD" w:rsidR="00A4196C" w:rsidRPr="00381F50" w:rsidRDefault="00000000">
      <w:pPr>
        <w:spacing w:after="160"/>
        <w:rPr>
          <w:rFonts w:ascii="Calibri" w:hAnsi="Calibri" w:cs="Calibri"/>
          <w:color w:val="000000" w:themeColor="text1"/>
        </w:rPr>
      </w:pPr>
      <w:r w:rsidRPr="00381F50">
        <w:rPr>
          <w:rFonts w:ascii="Calibri" w:eastAsia="Georgia" w:hAnsi="Calibri" w:cs="Calibri"/>
          <w:color w:val="000000" w:themeColor="text1"/>
          <w:sz w:val="24"/>
          <w:szCs w:val="24"/>
        </w:rPr>
        <w:t xml:space="preserve">The second tool is </w:t>
      </w:r>
      <w:r w:rsidR="00381F50">
        <w:rPr>
          <w:rFonts w:ascii="Calibri" w:eastAsia="Georgia" w:hAnsi="Calibri" w:cs="Calibri"/>
          <w:color w:val="000000" w:themeColor="text1"/>
          <w:sz w:val="24"/>
          <w:szCs w:val="24"/>
        </w:rPr>
        <w:t xml:space="preserve">a </w:t>
      </w:r>
      <w:r w:rsidRPr="00381F50">
        <w:rPr>
          <w:rFonts w:ascii="Calibri" w:eastAsia="Georgia" w:hAnsi="Calibri" w:cs="Calibri"/>
          <w:color w:val="000000" w:themeColor="text1"/>
          <w:sz w:val="24"/>
          <w:szCs w:val="24"/>
        </w:rPr>
        <w:t>framework call</w:t>
      </w:r>
      <w:r w:rsidR="00381F50">
        <w:rPr>
          <w:rFonts w:ascii="Calibri" w:eastAsia="Georgia" w:hAnsi="Calibri" w:cs="Calibri"/>
          <w:color w:val="000000" w:themeColor="text1"/>
          <w:sz w:val="24"/>
          <w:szCs w:val="24"/>
        </w:rPr>
        <w:t>ed</w:t>
      </w:r>
      <w:r w:rsidRPr="00381F50">
        <w:rPr>
          <w:rFonts w:ascii="Calibri" w:eastAsia="Georgia" w:hAnsi="Calibri" w:cs="Calibri"/>
          <w:color w:val="000000" w:themeColor="text1"/>
          <w:sz w:val="24"/>
          <w:szCs w:val="24"/>
        </w:rPr>
        <w:t xml:space="preserve"> a "pattern interrupt": acknowledge what someone feels without conceding the argument. "I can see </w:t>
      </w:r>
      <w:proofErr w:type="gramStart"/>
      <w:r w:rsidRPr="00381F50">
        <w:rPr>
          <w:rFonts w:ascii="Calibri" w:eastAsia="Georgia" w:hAnsi="Calibri" w:cs="Calibri"/>
          <w:color w:val="000000" w:themeColor="text1"/>
          <w:sz w:val="24"/>
          <w:szCs w:val="24"/>
        </w:rPr>
        <w:t>this matters</w:t>
      </w:r>
      <w:proofErr w:type="gramEnd"/>
      <w:r w:rsidRPr="00381F50">
        <w:rPr>
          <w:rFonts w:ascii="Calibri" w:eastAsia="Georgia" w:hAnsi="Calibri" w:cs="Calibri"/>
          <w:color w:val="000000" w:themeColor="text1"/>
          <w:sz w:val="24"/>
          <w:szCs w:val="24"/>
        </w:rPr>
        <w:t xml:space="preserve"> deeply to you, and it matters to me too. Can I show you what the process looks like?" It reopens dialogue more often than defensiveness ever will.</w:t>
      </w:r>
    </w:p>
    <w:p w14:paraId="38C7349A" w14:textId="77777777" w:rsidR="00A4196C" w:rsidRPr="00381F50" w:rsidRDefault="00A4196C">
      <w:pPr>
        <w:spacing w:after="60"/>
        <w:rPr>
          <w:rFonts w:ascii="Calibri" w:hAnsi="Calibri" w:cs="Calibri"/>
          <w:color w:val="000000" w:themeColor="text1"/>
        </w:rPr>
      </w:pPr>
    </w:p>
    <w:p w14:paraId="4D39D994" w14:textId="77777777" w:rsidR="00A4196C" w:rsidRPr="00381F50" w:rsidRDefault="00000000">
      <w:pPr>
        <w:spacing w:after="160"/>
        <w:rPr>
          <w:rFonts w:ascii="Calibri" w:hAnsi="Calibri" w:cs="Calibri"/>
          <w:color w:val="000000" w:themeColor="text1"/>
        </w:rPr>
      </w:pPr>
      <w:r w:rsidRPr="00381F50">
        <w:rPr>
          <w:rFonts w:ascii="Calibri" w:eastAsia="Georgia" w:hAnsi="Calibri" w:cs="Calibri"/>
          <w:color w:val="000000" w:themeColor="text1"/>
          <w:sz w:val="24"/>
          <w:szCs w:val="24"/>
        </w:rPr>
        <w:t>The third tool is process design: comment cards, breakout groups, and online input portals make it harder for an organized group to dominate and easier for the resident who drove herself there after a double shift to be heard. Those who lose most when engagement becomes a performance are those with the least capacity to fight for their place in the room.</w:t>
      </w:r>
    </w:p>
    <w:p w14:paraId="3F5CD03E" w14:textId="77777777" w:rsidR="00A4196C" w:rsidRPr="00381F50" w:rsidRDefault="00A4196C">
      <w:pPr>
        <w:spacing w:after="60"/>
        <w:rPr>
          <w:rFonts w:ascii="Calibri" w:hAnsi="Calibri" w:cs="Calibri"/>
          <w:color w:val="000000" w:themeColor="text1"/>
        </w:rPr>
      </w:pPr>
    </w:p>
    <w:p w14:paraId="2FDEF19D" w14:textId="1BA017DD" w:rsidR="00A4196C" w:rsidRPr="00381F50" w:rsidRDefault="00000000" w:rsidP="00381F50">
      <w:pPr>
        <w:spacing w:after="160"/>
        <w:rPr>
          <w:rFonts w:ascii="Calibri" w:hAnsi="Calibri" w:cs="Calibri"/>
          <w:color w:val="000000" w:themeColor="text1"/>
        </w:rPr>
      </w:pPr>
      <w:r w:rsidRPr="00381F50">
        <w:rPr>
          <w:rFonts w:ascii="Calibri" w:eastAsia="Georgia" w:hAnsi="Calibri" w:cs="Calibri"/>
          <w:color w:val="000000" w:themeColor="text1"/>
          <w:sz w:val="24"/>
          <w:szCs w:val="24"/>
        </w:rPr>
        <w:t>Jose Colon, Planning Director in Jamestown, NC, is Puerto Rican, navigating rooms that weren't designed with him in mind. "When the room turns on you, you have to remind yourself that you're the messenger," he told me. "Stay grounded in policy. The policy is what you're here to represent, not yourself." When we allow the loudest voices to dominate, we are not being neutral. We are choosing whose participation counts.</w:t>
      </w:r>
    </w:p>
    <w:p w14:paraId="16E7F12D" w14:textId="77777777" w:rsidR="00A4196C" w:rsidRPr="00381F50" w:rsidRDefault="00000000">
      <w:pPr>
        <w:spacing w:before="320" w:after="120"/>
        <w:rPr>
          <w:rFonts w:ascii="Calibri" w:hAnsi="Calibri" w:cs="Calibri"/>
          <w:color w:val="000000" w:themeColor="text1"/>
        </w:rPr>
      </w:pPr>
      <w:r w:rsidRPr="00381F50">
        <w:rPr>
          <w:rFonts w:ascii="Calibri" w:eastAsia="Arial" w:hAnsi="Calibri" w:cs="Calibri"/>
          <w:b/>
          <w:bCs/>
          <w:color w:val="000000" w:themeColor="text1"/>
          <w:sz w:val="26"/>
          <w:szCs w:val="26"/>
        </w:rPr>
        <w:t>HOW TO DISAGREE WITH YOUR BOARD AND KEEP YOUR JOB</w:t>
      </w:r>
    </w:p>
    <w:p w14:paraId="5B1BF65B" w14:textId="77777777" w:rsidR="00A4196C" w:rsidRPr="00381F50" w:rsidRDefault="00A4196C">
      <w:pPr>
        <w:spacing w:after="60"/>
        <w:rPr>
          <w:rFonts w:ascii="Calibri" w:hAnsi="Calibri" w:cs="Calibri"/>
          <w:color w:val="000000" w:themeColor="text1"/>
        </w:rPr>
      </w:pPr>
    </w:p>
    <w:p w14:paraId="5AC6E4F0" w14:textId="77777777" w:rsidR="00A4196C" w:rsidRPr="00381F50" w:rsidRDefault="00000000">
      <w:pPr>
        <w:spacing w:after="160"/>
        <w:rPr>
          <w:rFonts w:ascii="Calibri" w:hAnsi="Calibri" w:cs="Calibri"/>
          <w:color w:val="000000" w:themeColor="text1"/>
        </w:rPr>
      </w:pPr>
      <w:r w:rsidRPr="00381F50">
        <w:rPr>
          <w:rFonts w:ascii="Calibri" w:eastAsia="Georgia" w:hAnsi="Calibri" w:cs="Calibri"/>
          <w:color w:val="000000" w:themeColor="text1"/>
          <w:sz w:val="24"/>
          <w:szCs w:val="24"/>
        </w:rPr>
        <w:t>Planners are trained to speak truth to power, but the Code of Ethics doesn't cover how to do that without losing your job. Navigating disagreement with elected officials is one of the most complicated things we do, and the profession gives us almost no guidance on it.</w:t>
      </w:r>
    </w:p>
    <w:p w14:paraId="1B49A9E6" w14:textId="77777777" w:rsidR="00A4196C" w:rsidRPr="00381F50" w:rsidRDefault="00A4196C">
      <w:pPr>
        <w:spacing w:after="60"/>
        <w:rPr>
          <w:rFonts w:ascii="Calibri" w:hAnsi="Calibri" w:cs="Calibri"/>
          <w:color w:val="000000" w:themeColor="text1"/>
        </w:rPr>
      </w:pPr>
    </w:p>
    <w:p w14:paraId="7407A6CE" w14:textId="0D5AE067" w:rsidR="00A4196C" w:rsidRPr="00381F50" w:rsidRDefault="00B36F47">
      <w:pPr>
        <w:spacing w:after="160"/>
        <w:rPr>
          <w:rFonts w:ascii="Calibri" w:hAnsi="Calibri" w:cs="Calibri"/>
          <w:color w:val="000000" w:themeColor="text1"/>
        </w:rPr>
      </w:pPr>
      <w:r>
        <w:rPr>
          <w:rFonts w:ascii="Calibri" w:eastAsia="Georgia" w:hAnsi="Calibri" w:cs="Calibri"/>
          <w:color w:val="000000" w:themeColor="text1"/>
          <w:sz w:val="24"/>
          <w:szCs w:val="24"/>
        </w:rPr>
        <w:t>My methods</w:t>
      </w:r>
      <w:r w:rsidR="00000000" w:rsidRPr="00381F50">
        <w:rPr>
          <w:rFonts w:ascii="Calibri" w:eastAsia="Georgia" w:hAnsi="Calibri" w:cs="Calibri"/>
          <w:color w:val="000000" w:themeColor="text1"/>
          <w:sz w:val="24"/>
          <w:szCs w:val="24"/>
        </w:rPr>
        <w:t xml:space="preserve"> draw on Phil M Jones' Exactly What to Say</w:t>
      </w:r>
      <w:r w:rsidR="00381F50">
        <w:rPr>
          <w:rFonts w:ascii="Calibri" w:eastAsia="Georgia" w:hAnsi="Calibri" w:cs="Calibri"/>
          <w:color w:val="000000" w:themeColor="text1"/>
          <w:sz w:val="24"/>
          <w:szCs w:val="24"/>
        </w:rPr>
        <w:t>®</w:t>
      </w:r>
      <w:r w:rsidR="00000000" w:rsidRPr="00381F50">
        <w:rPr>
          <w:rFonts w:ascii="Calibri" w:eastAsia="Georgia" w:hAnsi="Calibri" w:cs="Calibri"/>
          <w:color w:val="000000" w:themeColor="text1"/>
          <w:sz w:val="24"/>
          <w:szCs w:val="24"/>
        </w:rPr>
        <w:t xml:space="preserve"> framework, adapted for local government. As a Certified Exactly What to Say Guide, </w:t>
      </w:r>
      <w:r w:rsidR="00381F50">
        <w:rPr>
          <w:rFonts w:ascii="Calibri" w:eastAsia="Georgia" w:hAnsi="Calibri" w:cs="Calibri"/>
          <w:color w:val="000000" w:themeColor="text1"/>
          <w:sz w:val="24"/>
          <w:szCs w:val="24"/>
        </w:rPr>
        <w:t xml:space="preserve">I teach </w:t>
      </w:r>
      <w:r w:rsidR="00000000" w:rsidRPr="00381F50">
        <w:rPr>
          <w:rFonts w:ascii="Calibri" w:eastAsia="Georgia" w:hAnsi="Calibri" w:cs="Calibri"/>
          <w:color w:val="000000" w:themeColor="text1"/>
          <w:sz w:val="24"/>
          <w:szCs w:val="24"/>
        </w:rPr>
        <w:t>th</w:t>
      </w:r>
      <w:r w:rsidR="00381F50">
        <w:rPr>
          <w:rFonts w:ascii="Calibri" w:eastAsia="Georgia" w:hAnsi="Calibri" w:cs="Calibri"/>
          <w:color w:val="000000" w:themeColor="text1"/>
          <w:sz w:val="24"/>
          <w:szCs w:val="24"/>
        </w:rPr>
        <w:t>is</w:t>
      </w:r>
      <w:r w:rsidR="00000000" w:rsidRPr="00381F50">
        <w:rPr>
          <w:rFonts w:ascii="Calibri" w:eastAsia="Georgia" w:hAnsi="Calibri" w:cs="Calibri"/>
          <w:color w:val="000000" w:themeColor="text1"/>
          <w:sz w:val="24"/>
          <w:szCs w:val="24"/>
        </w:rPr>
        <w:t xml:space="preserve"> core insight: the words you choose determine the response you get. In a profession where a single sentence can end a project, that's risk management, not a communication tip.</w:t>
      </w:r>
    </w:p>
    <w:p w14:paraId="64972D43" w14:textId="77777777" w:rsidR="00A4196C" w:rsidRPr="00381F50" w:rsidRDefault="00A4196C">
      <w:pPr>
        <w:spacing w:after="60"/>
        <w:rPr>
          <w:rFonts w:ascii="Calibri" w:hAnsi="Calibri" w:cs="Calibri"/>
          <w:color w:val="000000" w:themeColor="text1"/>
        </w:rPr>
      </w:pPr>
    </w:p>
    <w:p w14:paraId="16B049EB" w14:textId="3352C500" w:rsidR="00A4196C" w:rsidRPr="00381F50" w:rsidRDefault="00000000">
      <w:pPr>
        <w:spacing w:after="160"/>
        <w:rPr>
          <w:rFonts w:ascii="Calibri" w:hAnsi="Calibri" w:cs="Calibri"/>
          <w:color w:val="000000" w:themeColor="text1"/>
        </w:rPr>
      </w:pPr>
      <w:r w:rsidRPr="00381F50">
        <w:rPr>
          <w:rFonts w:ascii="Calibri" w:eastAsia="Georgia" w:hAnsi="Calibri" w:cs="Calibri"/>
          <w:color w:val="000000" w:themeColor="text1"/>
          <w:sz w:val="24"/>
          <w:szCs w:val="24"/>
        </w:rPr>
        <w:t>What Jones calls "open-minded language" is the most practical tool I've found for disagreeing without triggering defensiveness. Instead of "I don't think this will work</w:t>
      </w:r>
      <w:r w:rsidR="006119EB">
        <w:rPr>
          <w:rFonts w:ascii="Calibri" w:eastAsia="Georgia" w:hAnsi="Calibri" w:cs="Calibri"/>
          <w:color w:val="000000" w:themeColor="text1"/>
          <w:sz w:val="24"/>
          <w:szCs w:val="24"/>
        </w:rPr>
        <w:t xml:space="preserve"> because your timing is bad</w:t>
      </w:r>
      <w:r w:rsidRPr="00381F50">
        <w:rPr>
          <w:rFonts w:ascii="Calibri" w:eastAsia="Georgia" w:hAnsi="Calibri" w:cs="Calibri"/>
          <w:color w:val="000000" w:themeColor="text1"/>
          <w:sz w:val="24"/>
          <w:szCs w:val="24"/>
        </w:rPr>
        <w:t>," try: "Would you be open to a staff review of the timeline?" Same substance,</w:t>
      </w:r>
      <w:r w:rsidR="00381F50">
        <w:rPr>
          <w:rFonts w:ascii="Calibri" w:eastAsia="Georgia" w:hAnsi="Calibri" w:cs="Calibri"/>
          <w:color w:val="000000" w:themeColor="text1"/>
          <w:sz w:val="24"/>
          <w:szCs w:val="24"/>
        </w:rPr>
        <w:t xml:space="preserve"> but with a</w:t>
      </w:r>
      <w:r w:rsidRPr="00381F50">
        <w:rPr>
          <w:rFonts w:ascii="Calibri" w:eastAsia="Georgia" w:hAnsi="Calibri" w:cs="Calibri"/>
          <w:color w:val="000000" w:themeColor="text1"/>
          <w:sz w:val="24"/>
          <w:szCs w:val="24"/>
        </w:rPr>
        <w:t xml:space="preserve"> collaborative posture, and you've documented your concern without drawing a line in the sand.</w:t>
      </w:r>
    </w:p>
    <w:p w14:paraId="04108967" w14:textId="77777777" w:rsidR="00A4196C" w:rsidRPr="00381F50" w:rsidRDefault="00A4196C">
      <w:pPr>
        <w:spacing w:after="60"/>
        <w:rPr>
          <w:rFonts w:ascii="Calibri" w:hAnsi="Calibri" w:cs="Calibri"/>
          <w:color w:val="000000" w:themeColor="text1"/>
        </w:rPr>
      </w:pPr>
    </w:p>
    <w:p w14:paraId="3D019FF8" w14:textId="34FDBF82" w:rsidR="00A4196C" w:rsidRPr="00381F50" w:rsidRDefault="00000000" w:rsidP="006119EB">
      <w:pPr>
        <w:spacing w:after="160"/>
        <w:rPr>
          <w:rFonts w:ascii="Calibri" w:hAnsi="Calibri" w:cs="Calibri"/>
          <w:color w:val="000000" w:themeColor="text1"/>
        </w:rPr>
      </w:pPr>
      <w:r w:rsidRPr="00381F50">
        <w:rPr>
          <w:rFonts w:ascii="Calibri" w:eastAsia="Georgia" w:hAnsi="Calibri" w:cs="Calibri"/>
          <w:color w:val="000000" w:themeColor="text1"/>
          <w:sz w:val="24"/>
          <w:szCs w:val="24"/>
        </w:rPr>
        <w:t xml:space="preserve">The equity dimension deserves naming. Planners from marginalized backgrounds face a higher personal cost for speaking up. Assertiveness in white male professionals reads as leadership; in others it reads as insubordination. The profession needs to ask honestly whether we are requiring some colleagues to carry risks we would never ask of others. </w:t>
      </w:r>
    </w:p>
    <w:p w14:paraId="229ECEB0" w14:textId="2CC0292B" w:rsidR="00A4196C" w:rsidRPr="00381F50" w:rsidRDefault="00000000" w:rsidP="00D27D07">
      <w:pPr>
        <w:spacing w:after="160"/>
        <w:rPr>
          <w:rFonts w:ascii="Calibri" w:hAnsi="Calibri" w:cs="Calibri"/>
          <w:color w:val="000000" w:themeColor="text1"/>
        </w:rPr>
      </w:pPr>
      <w:r w:rsidRPr="00381F50">
        <w:rPr>
          <w:rFonts w:ascii="Calibri" w:eastAsia="Georgia" w:hAnsi="Calibri" w:cs="Calibri"/>
          <w:color w:val="000000" w:themeColor="text1"/>
          <w:sz w:val="24"/>
          <w:szCs w:val="24"/>
        </w:rPr>
        <w:lastRenderedPageBreak/>
        <w:t xml:space="preserve">Jose has lived this directly. When a </w:t>
      </w:r>
      <w:r w:rsidR="006119EB">
        <w:rPr>
          <w:rFonts w:ascii="Calibri" w:eastAsia="Georgia" w:hAnsi="Calibri" w:cs="Calibri"/>
          <w:color w:val="000000" w:themeColor="text1"/>
          <w:sz w:val="24"/>
          <w:szCs w:val="24"/>
        </w:rPr>
        <w:t xml:space="preserve">recent </w:t>
      </w:r>
      <w:r w:rsidRPr="00381F50">
        <w:rPr>
          <w:rFonts w:ascii="Calibri" w:eastAsia="Georgia" w:hAnsi="Calibri" w:cs="Calibri"/>
          <w:color w:val="000000" w:themeColor="text1"/>
          <w:sz w:val="24"/>
          <w:szCs w:val="24"/>
        </w:rPr>
        <w:t>decision escalated into a lawsuit, a personal attack came from the audience. "My approach was to concentrate on policy, refer to the plans, follow the APA Code of Ethics, and continue to provide information to the decision makers," he said. "That's all you can do." He also hosts individual briefings</w:t>
      </w:r>
      <w:r w:rsidR="006119EB">
        <w:rPr>
          <w:rFonts w:ascii="Calibri" w:eastAsia="Georgia" w:hAnsi="Calibri" w:cs="Calibri"/>
          <w:color w:val="000000" w:themeColor="text1"/>
          <w:sz w:val="24"/>
          <w:szCs w:val="24"/>
        </w:rPr>
        <w:t xml:space="preserve"> with board members</w:t>
      </w:r>
      <w:r w:rsidRPr="00381F50">
        <w:rPr>
          <w:rFonts w:ascii="Calibri" w:eastAsia="Georgia" w:hAnsi="Calibri" w:cs="Calibri"/>
          <w:color w:val="000000" w:themeColor="text1"/>
          <w:sz w:val="24"/>
          <w:szCs w:val="24"/>
        </w:rPr>
        <w:t xml:space="preserve"> before difficult items go public, because hard conversations handled privately change what's possible in the room. </w:t>
      </w:r>
      <w:r w:rsidR="00D27D07">
        <w:rPr>
          <w:rFonts w:ascii="Calibri" w:eastAsia="Georgia" w:hAnsi="Calibri" w:cs="Calibri"/>
          <w:color w:val="000000" w:themeColor="text1"/>
          <w:sz w:val="24"/>
          <w:szCs w:val="24"/>
        </w:rPr>
        <w:t>Saying,</w:t>
      </w:r>
      <w:r w:rsidRPr="00381F50">
        <w:rPr>
          <w:rFonts w:ascii="Calibri" w:eastAsia="Georgia" w:hAnsi="Calibri" w:cs="Calibri"/>
          <w:color w:val="000000" w:themeColor="text1"/>
          <w:sz w:val="24"/>
          <w:szCs w:val="24"/>
        </w:rPr>
        <w:t xml:space="preserve"> "I want to make sure we get this right" is almost always more effective than "I disagree."</w:t>
      </w:r>
    </w:p>
    <w:p w14:paraId="416BFBFF" w14:textId="77777777" w:rsidR="00A4196C" w:rsidRPr="00381F50" w:rsidRDefault="00000000">
      <w:pPr>
        <w:spacing w:before="320" w:after="120"/>
        <w:rPr>
          <w:rFonts w:ascii="Calibri" w:hAnsi="Calibri" w:cs="Calibri"/>
          <w:color w:val="000000" w:themeColor="text1"/>
        </w:rPr>
      </w:pPr>
      <w:r w:rsidRPr="00381F50">
        <w:rPr>
          <w:rFonts w:ascii="Calibri" w:eastAsia="Arial" w:hAnsi="Calibri" w:cs="Calibri"/>
          <w:b/>
          <w:bCs/>
          <w:color w:val="000000" w:themeColor="text1"/>
          <w:sz w:val="26"/>
          <w:szCs w:val="26"/>
        </w:rPr>
        <w:t>WHEN SILENCE BECOMES POLICY</w:t>
      </w:r>
    </w:p>
    <w:p w14:paraId="66AF501C" w14:textId="77777777" w:rsidR="00A4196C" w:rsidRPr="00381F50" w:rsidRDefault="00A4196C">
      <w:pPr>
        <w:spacing w:after="60"/>
        <w:rPr>
          <w:rFonts w:ascii="Calibri" w:hAnsi="Calibri" w:cs="Calibri"/>
          <w:color w:val="000000" w:themeColor="text1"/>
        </w:rPr>
      </w:pPr>
    </w:p>
    <w:p w14:paraId="6EA12047" w14:textId="1538C29F" w:rsidR="00A4196C" w:rsidRPr="00381F50" w:rsidRDefault="00000000">
      <w:pPr>
        <w:spacing w:after="160"/>
        <w:rPr>
          <w:rFonts w:ascii="Calibri" w:hAnsi="Calibri" w:cs="Calibri"/>
          <w:color w:val="000000" w:themeColor="text1"/>
        </w:rPr>
      </w:pPr>
      <w:r w:rsidRPr="00381F50">
        <w:rPr>
          <w:rFonts w:ascii="Calibri" w:eastAsia="Georgia" w:hAnsi="Calibri" w:cs="Calibri"/>
          <w:color w:val="000000" w:themeColor="text1"/>
          <w:sz w:val="24"/>
          <w:szCs w:val="24"/>
        </w:rPr>
        <w:t xml:space="preserve">In 2020, my community was updating its comprehensive plan. There was a housing section, and a conversation we kept not having: about who had been displaced over the previous decade, and what the plan's silence on that history would produce. The politics were complicated. </w:t>
      </w:r>
      <w:proofErr w:type="gramStart"/>
      <w:r w:rsidRPr="00381F50">
        <w:rPr>
          <w:rFonts w:ascii="Calibri" w:eastAsia="Georgia" w:hAnsi="Calibri" w:cs="Calibri"/>
          <w:color w:val="000000" w:themeColor="text1"/>
          <w:sz w:val="24"/>
          <w:szCs w:val="24"/>
        </w:rPr>
        <w:t>So</w:t>
      </w:r>
      <w:proofErr w:type="gramEnd"/>
      <w:r w:rsidRPr="00381F50">
        <w:rPr>
          <w:rFonts w:ascii="Calibri" w:eastAsia="Georgia" w:hAnsi="Calibri" w:cs="Calibri"/>
          <w:color w:val="000000" w:themeColor="text1"/>
          <w:sz w:val="24"/>
          <w:szCs w:val="24"/>
        </w:rPr>
        <w:t xml:space="preserve"> we wrote careful, neutral language and moved on.</w:t>
      </w:r>
    </w:p>
    <w:p w14:paraId="36604964" w14:textId="77777777" w:rsidR="00A4196C" w:rsidRPr="00381F50" w:rsidRDefault="00A4196C">
      <w:pPr>
        <w:spacing w:after="60"/>
        <w:rPr>
          <w:rFonts w:ascii="Calibri" w:hAnsi="Calibri" w:cs="Calibri"/>
          <w:color w:val="000000" w:themeColor="text1"/>
        </w:rPr>
      </w:pPr>
    </w:p>
    <w:p w14:paraId="26EC5613" w14:textId="77777777" w:rsidR="00A4196C" w:rsidRPr="00381F50" w:rsidRDefault="00000000">
      <w:pPr>
        <w:spacing w:after="160"/>
        <w:rPr>
          <w:rFonts w:ascii="Calibri" w:hAnsi="Calibri" w:cs="Calibri"/>
          <w:color w:val="000000" w:themeColor="text1"/>
        </w:rPr>
      </w:pPr>
      <w:r w:rsidRPr="00381F50">
        <w:rPr>
          <w:rFonts w:ascii="Calibri" w:eastAsia="Georgia" w:hAnsi="Calibri" w:cs="Calibri"/>
          <w:color w:val="000000" w:themeColor="text1"/>
          <w:sz w:val="24"/>
          <w:szCs w:val="24"/>
        </w:rPr>
        <w:t>Avoidance is its own decision. When planners sidestep difficult conversations about displacement, the racial history of zoning, or who bears the cost of growth, that silence shapes outcomes as surely as any formal policy. We are a profession that built highways through Black neighborhoods, enforced segregation through deed restrictions, and used "blight" as a tool of dispossession. Acknowledging that history is not a political act. It is a professional one.</w:t>
      </w:r>
    </w:p>
    <w:p w14:paraId="53AEDB16" w14:textId="77777777" w:rsidR="00A4196C" w:rsidRPr="00381F50" w:rsidRDefault="00A4196C">
      <w:pPr>
        <w:spacing w:after="60"/>
        <w:rPr>
          <w:rFonts w:ascii="Calibri" w:hAnsi="Calibri" w:cs="Calibri"/>
          <w:color w:val="000000" w:themeColor="text1"/>
        </w:rPr>
      </w:pPr>
    </w:p>
    <w:p w14:paraId="7617C011" w14:textId="77777777" w:rsidR="00A4196C" w:rsidRPr="00381F50" w:rsidRDefault="00000000">
      <w:pPr>
        <w:spacing w:after="160"/>
        <w:rPr>
          <w:rFonts w:ascii="Calibri" w:hAnsi="Calibri" w:cs="Calibri"/>
          <w:color w:val="000000" w:themeColor="text1"/>
        </w:rPr>
      </w:pPr>
      <w:r w:rsidRPr="00381F50">
        <w:rPr>
          <w:rFonts w:ascii="Calibri" w:eastAsia="Georgia" w:hAnsi="Calibri" w:cs="Calibri"/>
          <w:color w:val="000000" w:themeColor="text1"/>
          <w:sz w:val="24"/>
          <w:szCs w:val="24"/>
        </w:rPr>
        <w:t>Name what you see specifically: not "there are equity concerns," but "this proposal would disproportionately affect low-income renters in this district, and here is what the data shows." Don't let decision-makers act without the information.</w:t>
      </w:r>
    </w:p>
    <w:p w14:paraId="08304DA8" w14:textId="77777777" w:rsidR="00A4196C" w:rsidRPr="00381F50" w:rsidRDefault="00A4196C">
      <w:pPr>
        <w:spacing w:after="60"/>
        <w:rPr>
          <w:rFonts w:ascii="Calibri" w:hAnsi="Calibri" w:cs="Calibri"/>
          <w:color w:val="000000" w:themeColor="text1"/>
        </w:rPr>
      </w:pPr>
    </w:p>
    <w:p w14:paraId="401FD4B6" w14:textId="77777777" w:rsidR="00A4196C" w:rsidRPr="00381F50" w:rsidRDefault="00000000">
      <w:pPr>
        <w:spacing w:after="160"/>
        <w:rPr>
          <w:rFonts w:ascii="Calibri" w:hAnsi="Calibri" w:cs="Calibri"/>
          <w:color w:val="000000" w:themeColor="text1"/>
        </w:rPr>
      </w:pPr>
      <w:r w:rsidRPr="00381F50">
        <w:rPr>
          <w:rFonts w:ascii="Calibri" w:eastAsia="Georgia" w:hAnsi="Calibri" w:cs="Calibri"/>
          <w:color w:val="000000" w:themeColor="text1"/>
          <w:sz w:val="24"/>
          <w:szCs w:val="24"/>
        </w:rPr>
        <w:t>Jose puts it plainly: "When you avoid it, the conversation doesn't go away. It will come back at the most inopportune time. It can create legal issues and lead to more tension." That is a risk management warning from someone who has watched avoidance play out.</w:t>
      </w:r>
    </w:p>
    <w:p w14:paraId="20302A2D" w14:textId="77777777" w:rsidR="00A4196C" w:rsidRPr="00381F50" w:rsidRDefault="00A4196C">
      <w:pPr>
        <w:spacing w:after="60"/>
        <w:rPr>
          <w:rFonts w:ascii="Calibri" w:hAnsi="Calibri" w:cs="Calibri"/>
          <w:color w:val="000000" w:themeColor="text1"/>
        </w:rPr>
      </w:pPr>
    </w:p>
    <w:p w14:paraId="72CED4F0" w14:textId="77777777" w:rsidR="00A4196C" w:rsidRPr="00381F50" w:rsidRDefault="00000000">
      <w:pPr>
        <w:spacing w:after="160"/>
        <w:rPr>
          <w:rFonts w:ascii="Calibri" w:hAnsi="Calibri" w:cs="Calibri"/>
          <w:color w:val="000000" w:themeColor="text1"/>
        </w:rPr>
      </w:pPr>
      <w:r w:rsidRPr="00381F50">
        <w:rPr>
          <w:rFonts w:ascii="Calibri" w:eastAsia="Georgia" w:hAnsi="Calibri" w:cs="Calibri"/>
          <w:color w:val="000000" w:themeColor="text1"/>
          <w:sz w:val="24"/>
          <w:szCs w:val="24"/>
        </w:rPr>
        <w:t>Courageous communication is not about confrontation. It is about clarity. The planner's job is to give communities the information they need, including the information they'd rather not hear. The hostility in our meeting rooms, the pressure on our judgment, and the silences in our plans all run through the same question: who are we doing this for? The answer, at its best, is the public, including the parts that don't show up to the meeting.</w:t>
      </w:r>
    </w:p>
    <w:p w14:paraId="03CBFE2B" w14:textId="77777777" w:rsidR="00A4196C" w:rsidRPr="00381F50" w:rsidRDefault="00A4196C">
      <w:pPr>
        <w:spacing w:after="60"/>
        <w:rPr>
          <w:rFonts w:ascii="Calibri" w:hAnsi="Calibri" w:cs="Calibri"/>
          <w:color w:val="000000" w:themeColor="text1"/>
        </w:rPr>
      </w:pPr>
    </w:p>
    <w:p w14:paraId="5D5F1058" w14:textId="27A242BD" w:rsidR="00A4196C" w:rsidRPr="00381F50" w:rsidRDefault="00000000" w:rsidP="00D27D07">
      <w:pPr>
        <w:spacing w:after="160"/>
        <w:rPr>
          <w:rFonts w:ascii="Calibri" w:hAnsi="Calibri" w:cs="Calibri"/>
          <w:color w:val="000000" w:themeColor="text1"/>
        </w:rPr>
      </w:pPr>
      <w:r w:rsidRPr="00381F50">
        <w:rPr>
          <w:rFonts w:ascii="Calibri" w:eastAsia="Georgia" w:hAnsi="Calibri" w:cs="Calibri"/>
          <w:color w:val="000000" w:themeColor="text1"/>
          <w:sz w:val="24"/>
          <w:szCs w:val="24"/>
        </w:rPr>
        <w:t xml:space="preserve">In every difficult conversation and every packed room, what you say next matters. Visit </w:t>
      </w:r>
      <w:hyperlink r:id="rId5" w:history="1">
        <w:r w:rsidR="00D27D07" w:rsidRPr="002B1657">
          <w:rPr>
            <w:rStyle w:val="Hyperlink"/>
            <w:rFonts w:ascii="Calibri" w:eastAsia="Georgia" w:hAnsi="Calibri" w:cs="Calibri"/>
            <w:sz w:val="24"/>
            <w:szCs w:val="24"/>
          </w:rPr>
          <w:t>www.whatyousaynext.com</w:t>
        </w:r>
      </w:hyperlink>
      <w:r w:rsidR="00D27D07">
        <w:rPr>
          <w:rFonts w:ascii="Calibri" w:eastAsia="Georgia" w:hAnsi="Calibri" w:cs="Calibri"/>
          <w:color w:val="000000" w:themeColor="text1"/>
          <w:sz w:val="24"/>
          <w:szCs w:val="24"/>
        </w:rPr>
        <w:t xml:space="preserve"> </w:t>
      </w:r>
      <w:r w:rsidRPr="00381F50">
        <w:rPr>
          <w:rFonts w:ascii="Calibri" w:eastAsia="Georgia" w:hAnsi="Calibri" w:cs="Calibri"/>
          <w:color w:val="000000" w:themeColor="text1"/>
          <w:sz w:val="24"/>
          <w:szCs w:val="24"/>
        </w:rPr>
        <w:t xml:space="preserve">to learn how </w:t>
      </w:r>
      <w:r w:rsidR="00A904E6">
        <w:rPr>
          <w:rFonts w:ascii="Calibri" w:eastAsia="Georgia" w:hAnsi="Calibri" w:cs="Calibri"/>
          <w:color w:val="000000" w:themeColor="text1"/>
          <w:sz w:val="24"/>
          <w:szCs w:val="24"/>
        </w:rPr>
        <w:t>we</w:t>
      </w:r>
      <w:r w:rsidRPr="00381F50">
        <w:rPr>
          <w:rFonts w:ascii="Calibri" w:eastAsia="Georgia" w:hAnsi="Calibri" w:cs="Calibri"/>
          <w:color w:val="000000" w:themeColor="text1"/>
          <w:sz w:val="24"/>
          <w:szCs w:val="24"/>
        </w:rPr>
        <w:t xml:space="preserve"> help planners, boards, and developers communicate with more clarity and less risk.</w:t>
      </w:r>
    </w:p>
    <w:p w14:paraId="2302DC0F" w14:textId="77777777" w:rsidR="00A4196C" w:rsidRPr="00381F50" w:rsidRDefault="00000000">
      <w:pPr>
        <w:spacing w:before="320" w:after="120"/>
        <w:rPr>
          <w:rFonts w:ascii="Calibri" w:hAnsi="Calibri" w:cs="Calibri"/>
          <w:color w:val="000000" w:themeColor="text1"/>
        </w:rPr>
      </w:pPr>
      <w:r w:rsidRPr="00381F50">
        <w:rPr>
          <w:rFonts w:ascii="Calibri" w:eastAsia="Arial" w:hAnsi="Calibri" w:cs="Calibri"/>
          <w:b/>
          <w:bCs/>
          <w:color w:val="000000" w:themeColor="text1"/>
          <w:sz w:val="26"/>
          <w:szCs w:val="26"/>
        </w:rPr>
        <w:t>RESOURCES AND FURTHER READING</w:t>
      </w:r>
    </w:p>
    <w:p w14:paraId="3FC0E7FE" w14:textId="4F38F724" w:rsidR="00A4196C" w:rsidRPr="00381F50" w:rsidRDefault="00000000">
      <w:pPr>
        <w:spacing w:after="80"/>
        <w:rPr>
          <w:rFonts w:ascii="Calibri" w:hAnsi="Calibri" w:cs="Calibri"/>
          <w:color w:val="000000" w:themeColor="text1"/>
        </w:rPr>
      </w:pPr>
      <w:r w:rsidRPr="00381F50">
        <w:rPr>
          <w:rFonts w:ascii="Calibri" w:eastAsia="Arial" w:hAnsi="Calibri" w:cs="Calibri"/>
          <w:color w:val="000000" w:themeColor="text1"/>
          <w:sz w:val="22"/>
          <w:szCs w:val="22"/>
        </w:rPr>
        <w:lastRenderedPageBreak/>
        <w:t xml:space="preserve">* Phil M. Jones, Exactly What to Say: The Magic Words for Influence and Impact </w:t>
      </w:r>
      <w:r w:rsidR="00D27D07">
        <w:rPr>
          <w:rFonts w:ascii="Calibri" w:eastAsia="Arial" w:hAnsi="Calibri" w:cs="Calibri"/>
          <w:color w:val="000000" w:themeColor="text1"/>
          <w:sz w:val="22"/>
          <w:szCs w:val="22"/>
        </w:rPr>
        <w:t>–</w:t>
      </w:r>
      <w:r w:rsidRPr="00381F50">
        <w:rPr>
          <w:rFonts w:ascii="Calibri" w:eastAsia="Arial" w:hAnsi="Calibri" w:cs="Calibri"/>
          <w:color w:val="000000" w:themeColor="text1"/>
          <w:sz w:val="22"/>
          <w:szCs w:val="22"/>
        </w:rPr>
        <w:t xml:space="preserve"> </w:t>
      </w:r>
      <w:hyperlink r:id="rId6" w:history="1">
        <w:r w:rsidR="00D27D07" w:rsidRPr="002B1657">
          <w:rPr>
            <w:rStyle w:val="Hyperlink"/>
            <w:rFonts w:ascii="Calibri" w:eastAsia="Arial" w:hAnsi="Calibri" w:cs="Calibri"/>
            <w:sz w:val="22"/>
            <w:szCs w:val="22"/>
          </w:rPr>
          <w:t>www.exactlywhattosay.com</w:t>
        </w:r>
      </w:hyperlink>
      <w:r w:rsidR="00D27D07">
        <w:rPr>
          <w:rFonts w:ascii="Calibri" w:eastAsia="Arial" w:hAnsi="Calibri" w:cs="Calibri"/>
          <w:color w:val="000000" w:themeColor="text1"/>
          <w:sz w:val="22"/>
          <w:szCs w:val="22"/>
        </w:rPr>
        <w:t xml:space="preserve"> </w:t>
      </w:r>
    </w:p>
    <w:p w14:paraId="6690CC1E" w14:textId="198A7330" w:rsidR="00A4196C" w:rsidRPr="00381F50" w:rsidRDefault="00000000">
      <w:pPr>
        <w:spacing w:after="80"/>
        <w:rPr>
          <w:rFonts w:ascii="Calibri" w:hAnsi="Calibri" w:cs="Calibri"/>
          <w:color w:val="000000" w:themeColor="text1"/>
        </w:rPr>
      </w:pPr>
      <w:r w:rsidRPr="00381F50">
        <w:rPr>
          <w:rFonts w:ascii="Calibri" w:eastAsia="Arial" w:hAnsi="Calibri" w:cs="Calibri"/>
          <w:color w:val="000000" w:themeColor="text1"/>
          <w:sz w:val="22"/>
          <w:szCs w:val="22"/>
        </w:rPr>
        <w:t xml:space="preserve">* </w:t>
      </w:r>
      <w:proofErr w:type="spellStart"/>
      <w:r w:rsidRPr="00381F50">
        <w:rPr>
          <w:rFonts w:ascii="Calibri" w:eastAsia="Arial" w:hAnsi="Calibri" w:cs="Calibri"/>
          <w:color w:val="000000" w:themeColor="text1"/>
          <w:sz w:val="22"/>
          <w:szCs w:val="22"/>
        </w:rPr>
        <w:t>NexPhrase</w:t>
      </w:r>
      <w:proofErr w:type="spellEnd"/>
      <w:r w:rsidRPr="00381F50">
        <w:rPr>
          <w:rFonts w:ascii="Calibri" w:eastAsia="Arial" w:hAnsi="Calibri" w:cs="Calibri"/>
          <w:color w:val="000000" w:themeColor="text1"/>
          <w:sz w:val="22"/>
          <w:szCs w:val="22"/>
        </w:rPr>
        <w:t xml:space="preserve"> -- communication consulting for planners, boards, and developers </w:t>
      </w:r>
      <w:r w:rsidR="00D27D07">
        <w:rPr>
          <w:rFonts w:ascii="Calibri" w:eastAsia="Arial" w:hAnsi="Calibri" w:cs="Calibri"/>
          <w:color w:val="000000" w:themeColor="text1"/>
          <w:sz w:val="22"/>
          <w:szCs w:val="22"/>
        </w:rPr>
        <w:t>–</w:t>
      </w:r>
      <w:r w:rsidRPr="00381F50">
        <w:rPr>
          <w:rFonts w:ascii="Calibri" w:eastAsia="Arial" w:hAnsi="Calibri" w:cs="Calibri"/>
          <w:color w:val="000000" w:themeColor="text1"/>
          <w:sz w:val="22"/>
          <w:szCs w:val="22"/>
        </w:rPr>
        <w:t xml:space="preserve"> </w:t>
      </w:r>
      <w:hyperlink r:id="rId7" w:history="1">
        <w:r w:rsidR="00D27D07" w:rsidRPr="002B1657">
          <w:rPr>
            <w:rStyle w:val="Hyperlink"/>
            <w:rFonts w:ascii="Calibri" w:eastAsia="Arial" w:hAnsi="Calibri" w:cs="Calibri"/>
            <w:sz w:val="22"/>
            <w:szCs w:val="22"/>
          </w:rPr>
          <w:t>www.whatyousaynext.com</w:t>
        </w:r>
      </w:hyperlink>
      <w:r w:rsidR="00D27D07">
        <w:rPr>
          <w:rFonts w:ascii="Calibri" w:eastAsia="Arial" w:hAnsi="Calibri" w:cs="Calibri"/>
          <w:color w:val="000000" w:themeColor="text1"/>
          <w:sz w:val="22"/>
          <w:szCs w:val="22"/>
        </w:rPr>
        <w:t xml:space="preserve"> </w:t>
      </w:r>
    </w:p>
    <w:p w14:paraId="5BF39ABA" w14:textId="44111BAC" w:rsidR="00A4196C" w:rsidRPr="00381F50" w:rsidRDefault="00000000">
      <w:pPr>
        <w:spacing w:after="80"/>
        <w:rPr>
          <w:rFonts w:ascii="Calibri" w:hAnsi="Calibri" w:cs="Calibri"/>
          <w:color w:val="000000" w:themeColor="text1"/>
        </w:rPr>
      </w:pPr>
      <w:r w:rsidRPr="00381F50">
        <w:rPr>
          <w:rFonts w:ascii="Calibri" w:eastAsia="Arial" w:hAnsi="Calibri" w:cs="Calibri"/>
          <w:color w:val="000000" w:themeColor="text1"/>
          <w:sz w:val="22"/>
          <w:szCs w:val="22"/>
        </w:rPr>
        <w:t xml:space="preserve">* APA Equity, Diversity &amp; Inclusion </w:t>
      </w:r>
      <w:r w:rsidR="00D27D07">
        <w:rPr>
          <w:rFonts w:ascii="Calibri" w:eastAsia="Arial" w:hAnsi="Calibri" w:cs="Calibri"/>
          <w:color w:val="000000" w:themeColor="text1"/>
          <w:sz w:val="22"/>
          <w:szCs w:val="22"/>
        </w:rPr>
        <w:t>–</w:t>
      </w:r>
      <w:r w:rsidRPr="00381F50">
        <w:rPr>
          <w:rFonts w:ascii="Calibri" w:eastAsia="Arial" w:hAnsi="Calibri" w:cs="Calibri"/>
          <w:color w:val="000000" w:themeColor="text1"/>
          <w:sz w:val="22"/>
          <w:szCs w:val="22"/>
        </w:rPr>
        <w:t xml:space="preserve"> </w:t>
      </w:r>
      <w:hyperlink r:id="rId8" w:history="1">
        <w:r w:rsidR="00D27D07" w:rsidRPr="002B1657">
          <w:rPr>
            <w:rStyle w:val="Hyperlink"/>
            <w:rFonts w:ascii="Calibri" w:eastAsia="Arial" w:hAnsi="Calibri" w:cs="Calibri"/>
            <w:sz w:val="22"/>
            <w:szCs w:val="22"/>
          </w:rPr>
          <w:t>www.planning.org/equity</w:t>
        </w:r>
      </w:hyperlink>
      <w:r w:rsidR="00D27D07">
        <w:rPr>
          <w:rFonts w:ascii="Calibri" w:eastAsia="Arial" w:hAnsi="Calibri" w:cs="Calibri"/>
          <w:color w:val="000000" w:themeColor="text1"/>
          <w:sz w:val="22"/>
          <w:szCs w:val="22"/>
        </w:rPr>
        <w:t xml:space="preserve"> </w:t>
      </w:r>
    </w:p>
    <w:p w14:paraId="2B83A6C4" w14:textId="3FA125BC" w:rsidR="00A4196C" w:rsidRPr="00381F50" w:rsidRDefault="00000000">
      <w:pPr>
        <w:spacing w:after="80"/>
        <w:rPr>
          <w:rFonts w:ascii="Calibri" w:hAnsi="Calibri" w:cs="Calibri"/>
          <w:color w:val="000000" w:themeColor="text1"/>
        </w:rPr>
      </w:pPr>
      <w:r w:rsidRPr="00381F50">
        <w:rPr>
          <w:rFonts w:ascii="Calibri" w:eastAsia="Arial" w:hAnsi="Calibri" w:cs="Calibri"/>
          <w:color w:val="000000" w:themeColor="text1"/>
          <w:sz w:val="22"/>
          <w:szCs w:val="22"/>
        </w:rPr>
        <w:t xml:space="preserve">* APA Racial Equity and Transforming Planning </w:t>
      </w:r>
      <w:r w:rsidR="00D27D07">
        <w:rPr>
          <w:rFonts w:ascii="Calibri" w:eastAsia="Arial" w:hAnsi="Calibri" w:cs="Calibri"/>
          <w:color w:val="000000" w:themeColor="text1"/>
          <w:sz w:val="22"/>
          <w:szCs w:val="22"/>
        </w:rPr>
        <w:t>–</w:t>
      </w:r>
      <w:r w:rsidRPr="00381F50">
        <w:rPr>
          <w:rFonts w:ascii="Calibri" w:eastAsia="Arial" w:hAnsi="Calibri" w:cs="Calibri"/>
          <w:color w:val="000000" w:themeColor="text1"/>
          <w:sz w:val="22"/>
          <w:szCs w:val="22"/>
        </w:rPr>
        <w:t xml:space="preserve"> </w:t>
      </w:r>
      <w:hyperlink r:id="rId9" w:history="1">
        <w:r w:rsidR="00D27D07" w:rsidRPr="002B1657">
          <w:rPr>
            <w:rStyle w:val="Hyperlink"/>
            <w:rFonts w:ascii="Calibri" w:eastAsia="Arial" w:hAnsi="Calibri" w:cs="Calibri"/>
            <w:sz w:val="22"/>
            <w:szCs w:val="22"/>
          </w:rPr>
          <w:t>www.planning.org/equity/get-involved</w:t>
        </w:r>
      </w:hyperlink>
      <w:r w:rsidR="00D27D07">
        <w:rPr>
          <w:rFonts w:ascii="Calibri" w:eastAsia="Arial" w:hAnsi="Calibri" w:cs="Calibri"/>
          <w:color w:val="000000" w:themeColor="text1"/>
          <w:sz w:val="22"/>
          <w:szCs w:val="22"/>
        </w:rPr>
        <w:t xml:space="preserve"> </w:t>
      </w:r>
    </w:p>
    <w:p w14:paraId="74A174D5" w14:textId="3E870A15" w:rsidR="00A4196C" w:rsidRPr="00381F50" w:rsidRDefault="00000000">
      <w:pPr>
        <w:spacing w:after="80"/>
        <w:rPr>
          <w:rFonts w:ascii="Calibri" w:hAnsi="Calibri" w:cs="Calibri"/>
          <w:color w:val="000000" w:themeColor="text1"/>
        </w:rPr>
      </w:pPr>
      <w:r w:rsidRPr="00381F50">
        <w:rPr>
          <w:rFonts w:ascii="Calibri" w:eastAsia="Arial" w:hAnsi="Calibri" w:cs="Calibri"/>
          <w:color w:val="000000" w:themeColor="text1"/>
          <w:sz w:val="22"/>
          <w:szCs w:val="22"/>
        </w:rPr>
        <w:t xml:space="preserve">* Planning With Diverse Communities -- APA PAS Report: </w:t>
      </w:r>
      <w:hyperlink r:id="rId10" w:history="1">
        <w:r w:rsidR="00D27D07" w:rsidRPr="002B1657">
          <w:rPr>
            <w:rStyle w:val="Hyperlink"/>
            <w:rFonts w:ascii="Calibri" w:eastAsia="Arial" w:hAnsi="Calibri" w:cs="Calibri"/>
            <w:sz w:val="22"/>
            <w:szCs w:val="22"/>
          </w:rPr>
          <w:t>www.planning.org/publications/report/9165143</w:t>
        </w:r>
      </w:hyperlink>
      <w:r w:rsidR="00D27D07">
        <w:rPr>
          <w:rFonts w:ascii="Calibri" w:eastAsia="Arial" w:hAnsi="Calibri" w:cs="Calibri"/>
          <w:color w:val="000000" w:themeColor="text1"/>
          <w:sz w:val="22"/>
          <w:szCs w:val="22"/>
        </w:rPr>
        <w:t xml:space="preserve"> </w:t>
      </w:r>
    </w:p>
    <w:p w14:paraId="710C0217" w14:textId="77777777" w:rsidR="00A4196C" w:rsidRPr="00381F50" w:rsidRDefault="00A4196C">
      <w:pPr>
        <w:spacing w:after="120"/>
        <w:rPr>
          <w:rFonts w:ascii="Calibri" w:hAnsi="Calibri" w:cs="Calibri"/>
          <w:color w:val="000000" w:themeColor="text1"/>
        </w:rPr>
      </w:pPr>
    </w:p>
    <w:p w14:paraId="74B93027" w14:textId="77777777" w:rsidR="00A4196C" w:rsidRPr="00381F50" w:rsidRDefault="00000000">
      <w:pPr>
        <w:spacing w:before="200" w:after="80"/>
        <w:rPr>
          <w:rFonts w:ascii="Calibri" w:hAnsi="Calibri" w:cs="Calibri"/>
          <w:color w:val="000000" w:themeColor="text1"/>
        </w:rPr>
      </w:pPr>
      <w:r w:rsidRPr="00381F50">
        <w:rPr>
          <w:rFonts w:ascii="Calibri" w:eastAsia="Arial" w:hAnsi="Calibri" w:cs="Calibri"/>
          <w:b/>
          <w:bCs/>
          <w:color w:val="000000" w:themeColor="text1"/>
          <w:sz w:val="24"/>
          <w:szCs w:val="24"/>
        </w:rPr>
        <w:t>ABOUT THE AUTHOR</w:t>
      </w:r>
    </w:p>
    <w:p w14:paraId="7F79357C" w14:textId="7FFB82BE" w:rsidR="00A4196C" w:rsidRDefault="00000000">
      <w:pPr>
        <w:spacing w:after="80"/>
        <w:rPr>
          <w:rFonts w:ascii="Calibri" w:eastAsia="Georgia" w:hAnsi="Calibri" w:cs="Calibri"/>
          <w:i/>
          <w:iCs/>
          <w:color w:val="000000" w:themeColor="text1"/>
          <w:sz w:val="22"/>
          <w:szCs w:val="22"/>
        </w:rPr>
      </w:pPr>
      <w:r w:rsidRPr="00381F50">
        <w:rPr>
          <w:rFonts w:ascii="Calibri" w:eastAsia="Georgia" w:hAnsi="Calibri" w:cs="Calibri"/>
          <w:i/>
          <w:iCs/>
          <w:color w:val="000000" w:themeColor="text1"/>
          <w:sz w:val="22"/>
          <w:szCs w:val="22"/>
        </w:rPr>
        <w:t xml:space="preserve">Matthew Johnson, AICP, is a </w:t>
      </w:r>
      <w:r w:rsidR="00D27D07">
        <w:rPr>
          <w:rFonts w:ascii="Calibri" w:eastAsia="Georgia" w:hAnsi="Calibri" w:cs="Calibri"/>
          <w:i/>
          <w:iCs/>
          <w:color w:val="000000" w:themeColor="text1"/>
          <w:sz w:val="22"/>
          <w:szCs w:val="22"/>
        </w:rPr>
        <w:t>town manager</w:t>
      </w:r>
      <w:r w:rsidRPr="00381F50">
        <w:rPr>
          <w:rFonts w:ascii="Calibri" w:eastAsia="Georgia" w:hAnsi="Calibri" w:cs="Calibri"/>
          <w:i/>
          <w:iCs/>
          <w:color w:val="000000" w:themeColor="text1"/>
          <w:sz w:val="22"/>
          <w:szCs w:val="22"/>
        </w:rPr>
        <w:t xml:space="preserve"> with the Town of Jamestown, NC, and the founder of </w:t>
      </w:r>
      <w:proofErr w:type="spellStart"/>
      <w:r w:rsidRPr="00381F50">
        <w:rPr>
          <w:rFonts w:ascii="Calibri" w:eastAsia="Georgia" w:hAnsi="Calibri" w:cs="Calibri"/>
          <w:i/>
          <w:iCs/>
          <w:color w:val="000000" w:themeColor="text1"/>
          <w:sz w:val="22"/>
          <w:szCs w:val="22"/>
        </w:rPr>
        <w:t>NexPhrase</w:t>
      </w:r>
      <w:proofErr w:type="spellEnd"/>
      <w:r w:rsidRPr="00381F50">
        <w:rPr>
          <w:rFonts w:ascii="Calibri" w:eastAsia="Georgia" w:hAnsi="Calibri" w:cs="Calibri"/>
          <w:i/>
          <w:iCs/>
          <w:color w:val="000000" w:themeColor="text1"/>
          <w:sz w:val="22"/>
          <w:szCs w:val="22"/>
        </w:rPr>
        <w:t>, a consulting practice that helps planners, elected officials, and developers navigate high-stakes professional communication. He is a Certified Exactly What to Say Guide, trained in Phil M. Jones's methodology, which he applies through a local government lens.</w:t>
      </w:r>
    </w:p>
    <w:p w14:paraId="1C11E9AB" w14:textId="77777777" w:rsidR="00EB3511" w:rsidRDefault="00EB3511">
      <w:pPr>
        <w:spacing w:after="80"/>
        <w:rPr>
          <w:rFonts w:ascii="Calibri" w:eastAsia="Georgia" w:hAnsi="Calibri" w:cs="Calibri"/>
          <w:i/>
          <w:iCs/>
          <w:color w:val="000000" w:themeColor="text1"/>
          <w:sz w:val="22"/>
          <w:szCs w:val="22"/>
        </w:rPr>
      </w:pPr>
    </w:p>
    <w:p w14:paraId="53EA6807" w14:textId="581C76DC" w:rsidR="00EB3511" w:rsidRDefault="00EB3511">
      <w:pPr>
        <w:spacing w:after="80"/>
        <w:rPr>
          <w:rFonts w:ascii="Calibri" w:eastAsia="Georgia" w:hAnsi="Calibri" w:cs="Calibri"/>
          <w:i/>
          <w:iCs/>
          <w:color w:val="000000" w:themeColor="text1"/>
          <w:sz w:val="22"/>
          <w:szCs w:val="22"/>
        </w:rPr>
      </w:pPr>
      <w:hyperlink r:id="rId11" w:history="1">
        <w:r w:rsidRPr="009903A9">
          <w:rPr>
            <w:rStyle w:val="Hyperlink"/>
            <w:rFonts w:ascii="Calibri" w:eastAsia="Georgia" w:hAnsi="Calibri" w:cs="Calibri"/>
            <w:i/>
            <w:iCs/>
            <w:sz w:val="22"/>
            <w:szCs w:val="22"/>
          </w:rPr>
          <w:t>www.linkedin.com/in/effectivedisagreement</w:t>
        </w:r>
      </w:hyperlink>
    </w:p>
    <w:p w14:paraId="7AA70EA2" w14:textId="759C2863" w:rsidR="00EB3511" w:rsidRDefault="00EB3511">
      <w:pPr>
        <w:spacing w:after="80"/>
        <w:rPr>
          <w:rFonts w:ascii="Calibri" w:eastAsia="Georgia" w:hAnsi="Calibri" w:cs="Calibri"/>
          <w:i/>
          <w:iCs/>
          <w:color w:val="000000" w:themeColor="text1"/>
          <w:sz w:val="22"/>
          <w:szCs w:val="22"/>
        </w:rPr>
      </w:pPr>
      <w:hyperlink r:id="rId12" w:history="1">
        <w:r w:rsidRPr="009903A9">
          <w:rPr>
            <w:rStyle w:val="Hyperlink"/>
            <w:rFonts w:ascii="Calibri" w:eastAsia="Georgia" w:hAnsi="Calibri" w:cs="Calibri"/>
            <w:i/>
            <w:iCs/>
            <w:sz w:val="22"/>
            <w:szCs w:val="22"/>
          </w:rPr>
          <w:t>www.whatyousaynext.com</w:t>
        </w:r>
      </w:hyperlink>
    </w:p>
    <w:p w14:paraId="27EB2573" w14:textId="77777777" w:rsidR="00EB3511" w:rsidRPr="00381F50" w:rsidRDefault="00EB3511">
      <w:pPr>
        <w:spacing w:after="80"/>
        <w:rPr>
          <w:rFonts w:ascii="Calibri" w:hAnsi="Calibri" w:cs="Calibri"/>
          <w:color w:val="000000" w:themeColor="text1"/>
        </w:rPr>
      </w:pPr>
    </w:p>
    <w:p w14:paraId="6805D6D9" w14:textId="6ED3AB6E" w:rsidR="00A4196C" w:rsidRPr="00381F50" w:rsidRDefault="00A4196C">
      <w:pPr>
        <w:spacing w:after="80"/>
        <w:rPr>
          <w:rFonts w:ascii="Calibri" w:hAnsi="Calibri" w:cs="Calibri"/>
          <w:color w:val="000000" w:themeColor="text1"/>
        </w:rPr>
      </w:pPr>
    </w:p>
    <w:sectPr w:rsidR="00A4196C" w:rsidRPr="00381F5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F25CA9"/>
    <w:multiLevelType w:val="hybridMultilevel"/>
    <w:tmpl w:val="1EE8FA7C"/>
    <w:lvl w:ilvl="0" w:tplc="2E76C4AA">
      <w:start w:val="1"/>
      <w:numFmt w:val="bullet"/>
      <w:lvlText w:val="●"/>
      <w:lvlJc w:val="left"/>
      <w:pPr>
        <w:ind w:left="720" w:hanging="360"/>
      </w:pPr>
    </w:lvl>
    <w:lvl w:ilvl="1" w:tplc="59C4297A">
      <w:start w:val="1"/>
      <w:numFmt w:val="bullet"/>
      <w:lvlText w:val="○"/>
      <w:lvlJc w:val="left"/>
      <w:pPr>
        <w:ind w:left="1440" w:hanging="360"/>
      </w:pPr>
    </w:lvl>
    <w:lvl w:ilvl="2" w:tplc="9118EA12">
      <w:start w:val="1"/>
      <w:numFmt w:val="bullet"/>
      <w:lvlText w:val="■"/>
      <w:lvlJc w:val="left"/>
      <w:pPr>
        <w:ind w:left="2160" w:hanging="360"/>
      </w:pPr>
    </w:lvl>
    <w:lvl w:ilvl="3" w:tplc="77B85F7C">
      <w:start w:val="1"/>
      <w:numFmt w:val="bullet"/>
      <w:lvlText w:val="●"/>
      <w:lvlJc w:val="left"/>
      <w:pPr>
        <w:ind w:left="2880" w:hanging="360"/>
      </w:pPr>
    </w:lvl>
    <w:lvl w:ilvl="4" w:tplc="A6C426FC">
      <w:start w:val="1"/>
      <w:numFmt w:val="bullet"/>
      <w:lvlText w:val="○"/>
      <w:lvlJc w:val="left"/>
      <w:pPr>
        <w:ind w:left="3600" w:hanging="360"/>
      </w:pPr>
    </w:lvl>
    <w:lvl w:ilvl="5" w:tplc="EE0A74C0">
      <w:start w:val="1"/>
      <w:numFmt w:val="bullet"/>
      <w:lvlText w:val="■"/>
      <w:lvlJc w:val="left"/>
      <w:pPr>
        <w:ind w:left="4320" w:hanging="360"/>
      </w:pPr>
    </w:lvl>
    <w:lvl w:ilvl="6" w:tplc="4A60B4D6">
      <w:start w:val="1"/>
      <w:numFmt w:val="bullet"/>
      <w:lvlText w:val="●"/>
      <w:lvlJc w:val="left"/>
      <w:pPr>
        <w:ind w:left="5040" w:hanging="360"/>
      </w:pPr>
    </w:lvl>
    <w:lvl w:ilvl="7" w:tplc="1C846234">
      <w:start w:val="1"/>
      <w:numFmt w:val="bullet"/>
      <w:lvlText w:val="●"/>
      <w:lvlJc w:val="left"/>
      <w:pPr>
        <w:ind w:left="5760" w:hanging="360"/>
      </w:pPr>
    </w:lvl>
    <w:lvl w:ilvl="8" w:tplc="C4D2345C">
      <w:start w:val="1"/>
      <w:numFmt w:val="bullet"/>
      <w:lvlText w:val="●"/>
      <w:lvlJc w:val="left"/>
      <w:pPr>
        <w:ind w:left="6480" w:hanging="360"/>
      </w:pPr>
    </w:lvl>
  </w:abstractNum>
  <w:num w:numId="1" w16cid:durableId="39184917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96C"/>
    <w:rsid w:val="002A75F3"/>
    <w:rsid w:val="00381F50"/>
    <w:rsid w:val="00491A00"/>
    <w:rsid w:val="006119EB"/>
    <w:rsid w:val="007A096E"/>
    <w:rsid w:val="008D3AFA"/>
    <w:rsid w:val="00A4196C"/>
    <w:rsid w:val="00A904E6"/>
    <w:rsid w:val="00B36F47"/>
    <w:rsid w:val="00D27D07"/>
    <w:rsid w:val="00EB3511"/>
    <w:rsid w:val="00F37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9F041B"/>
  <w15:docId w15:val="{CC686B91-6D77-C74F-8222-9C9BE4A5C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27D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planning.org/equit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whatyousaynext.com" TargetMode="External"/><Relationship Id="rId12" Type="http://schemas.openxmlformats.org/officeDocument/2006/relationships/hyperlink" Target="http://www.whatyousaynex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xactlywhattosay.com" TargetMode="External"/><Relationship Id="rId11" Type="http://schemas.openxmlformats.org/officeDocument/2006/relationships/hyperlink" Target="http://www.linkedin.com/in/effectivedisagreement" TargetMode="External"/><Relationship Id="rId5" Type="http://schemas.openxmlformats.org/officeDocument/2006/relationships/hyperlink" Target="http://www.whatyousaynext.com" TargetMode="External"/><Relationship Id="rId10" Type="http://schemas.openxmlformats.org/officeDocument/2006/relationships/hyperlink" Target="http://www.planning.org/publications/report/9165143" TargetMode="External"/><Relationship Id="rId4" Type="http://schemas.openxmlformats.org/officeDocument/2006/relationships/webSettings" Target="webSettings.xml"/><Relationship Id="rId9" Type="http://schemas.openxmlformats.org/officeDocument/2006/relationships/hyperlink" Target="http://www.planning.org/equity/get-involve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1389</Words>
  <Characters>7215</Characters>
  <Application>Microsoft Office Word</Application>
  <DocSecurity>0</DocSecurity>
  <Lines>138</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Johnson</cp:lastModifiedBy>
  <cp:revision>8</cp:revision>
  <dcterms:created xsi:type="dcterms:W3CDTF">2026-07-16T13:05:00Z</dcterms:created>
  <dcterms:modified xsi:type="dcterms:W3CDTF">2026-08-06T17:52:00Z</dcterms:modified>
</cp:coreProperties>
</file>