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3D6B"/>
          <w:sz w:val="48"/>
          <w:szCs w:val="48"/>
        </w:rPr>
        <w:t xml:space="preserve">Antirassismus-Schule</w:t>
      </w:r>
    </w:p>
    <w:p>
      <w:pPr>
        <w:spacing w:after="80" w:before="0"/>
        <w:jc w:val="center"/>
      </w:pPr>
      <w:r>
        <w:rPr>
          <w:rFonts w:ascii="Arial" w:cs="Arial" w:eastAsia="Arial" w:hAnsi="Arial"/>
          <w:color w:val="1B6B5A"/>
          <w:sz w:val="28"/>
          <w:szCs w:val="28"/>
        </w:rPr>
        <w:t xml:space="preserve">Interaktiver Lernpfad – README &amp; Dokumentation</w:t>
      </w:r>
    </w:p>
    <w:p>
      <w:pPr>
        <w:spacing w:after="480" w:before="0"/>
        <w:jc w:val="center"/>
      </w:pPr>
      <w:r>
        <w:rPr>
          <w:rFonts w:ascii="Arial" w:cs="Arial" w:eastAsia="Arial" w:hAnsi="Arial"/>
          <w:i/>
          <w:iCs/>
          <w:color w:val="888888"/>
          <w:sz w:val="20"/>
          <w:szCs w:val="20"/>
        </w:rPr>
        <w:t xml:space="preserve">Version 4  ·  Für Schülerinnen und Schüler der Sekundarstufe I</w:t>
      </w:r>
    </w:p>
    <w:p>
      <w:pPr>
        <w:pStyle w:val="Heading1"/>
        <w:pBdr>
          <w:bottom w:val="single" w:color="1A3D6B" w:sz="6" w:space="4"/>
        </w:pBdr>
        <w:spacing w:after="120" w:before="360"/>
      </w:pPr>
      <w:r>
        <w:rPr>
          <w:rFonts w:ascii="Arial" w:cs="Arial" w:eastAsia="Arial" w:hAnsi="Arial"/>
          <w:b/>
          <w:bCs/>
          <w:color w:val="1A3D6B"/>
          <w:sz w:val="28"/>
          <w:szCs w:val="28"/>
        </w:rPr>
        <w:t xml:space="preserve">1. Über die App</w:t>
      </w:r>
    </w:p>
    <w:p>
      <w:pPr>
        <w:spacing w:after="80" w:before="60"/>
      </w:pPr>
      <w:r>
        <w:rPr>
          <w:rFonts w:ascii="Arial" w:cs="Arial" w:eastAsia="Arial" w:hAnsi="Arial"/>
          <w:color w:val="444444"/>
          <w:sz w:val="22"/>
          <w:szCs w:val="22"/>
        </w:rPr>
        <w:t xml:space="preserve">Die Antirassismus-Schule ist eine interaktive Lernapp für Jugendliche der Sekundarstufe I (10–16 Jahre). Sie ermöglicht es Schülerinnen und Schülern, eigenständig oder im Unterricht antirassistische Kompetenzen zu entwickeln – in drei aufeinander aufbauenden Themenbereichen.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0"/>
            </w:pPr>
            <w:r>
              <w:rPr>
                <w:rFonts w:ascii="Arial" w:cs="Arial" w:eastAsia="Arial" w:hAnsi="Arial"/>
                <w:b/>
                <w:bCs/>
                <w:color w:val="1A3D6B"/>
                <w:sz w:val="20"/>
                <w:szCs w:val="20"/>
              </w:rPr>
              <w:t xml:space="preserve">Pädagogische Grundlage</w:t>
            </w:r>
          </w:p>
          <w:p>
            <w:pPr>
              <w:spacing w:after="0" w:before="0"/>
            </w:pPr>
            <w:r>
              <w:rPr>
                <w:rFonts w:ascii="Arial" w:cs="Arial" w:eastAsia="Arial" w:hAnsi="Arial"/>
                <w:color w:val="444444"/>
                <w:sz w:val="20"/>
                <w:szCs w:val="20"/>
              </w:rPr>
              <w:t xml:space="preserve">Die Inhalte basieren auf drei Quellen: den Themenblättern im Unterricht Nr. 110 »Alltäglicher Rassismus« der Bundeszentrale für politische Bildung (bpb), dem Ally-Arbeitsbuch der Königin-Luise-Schule Köln sowie der Einleitung des Arbeitshefts »Gegen Rassismus«.</w:t>
            </w:r>
          </w:p>
        </w:tc>
      </w:tr>
    </w:tbl>
    <w:p>
      <w:pPr>
        <w:spacing w:after="80" w:before="80"/>
      </w:pPr>
      <w:r>
        <w:t xml:space="preserve"/>
      </w:r>
    </w:p>
    <w:p>
      <w:pPr>
        <w:pStyle w:val="Heading2"/>
        <w:spacing w:after="80" w:before="280"/>
      </w:pPr>
      <w:r>
        <w:rPr>
          <w:rFonts w:ascii="Arial" w:cs="Arial" w:eastAsia="Arial" w:hAnsi="Arial"/>
          <w:b/>
          <w:bCs/>
          <w:color w:val="1B6B5A"/>
          <w:sz w:val="24"/>
          <w:szCs w:val="24"/>
        </w:rPr>
        <w:t xml:space="preserve">Kernprinzipien</w:t>
      </w:r>
    </w:p>
    <w:p>
      <w:pPr>
        <w:pStyle w:val="ListParagraph"/>
        <w:numPr>
          <w:ilvl w:val="0"/>
          <w:numId w:val="2"/>
        </w:numPr>
        <w:spacing w:after="40" w:before="40"/>
      </w:pPr>
      <w:r>
        <w:rPr>
          <w:rFonts w:ascii="Arial" w:cs="Arial" w:eastAsia="Arial" w:hAnsi="Arial"/>
          <w:b w:val="false"/>
          <w:bCs w:val="false"/>
          <w:color w:val="444444"/>
          <w:sz w:val="22"/>
          <w:szCs w:val="22"/>
        </w:rPr>
        <w:t xml:space="preserve">Kein Reproduzieren rassistischer Inhalte: Keine Aufgabe verlangt das Aufschreiben oder Wiederholen diskriminierender Begriffe oder Aussagen.</w:t>
      </w:r>
    </w:p>
    <w:p>
      <w:pPr>
        <w:pStyle w:val="ListParagraph"/>
        <w:numPr>
          <w:ilvl w:val="0"/>
          <w:numId w:val="2"/>
        </w:numPr>
        <w:spacing w:after="40" w:before="40"/>
      </w:pPr>
      <w:r>
        <w:rPr>
          <w:rFonts w:ascii="Arial" w:cs="Arial" w:eastAsia="Arial" w:hAnsi="Arial"/>
          <w:b w:val="false"/>
          <w:bCs w:val="false"/>
          <w:color w:val="444444"/>
          <w:sz w:val="22"/>
          <w:szCs w:val="22"/>
        </w:rPr>
        <w:t xml:space="preserve">Ich-Perspektive durchgehend: Alle Reflexionsaufgaben sind Handlungsaufträge an die eigene Person – nicht Analysen der Gesellschaft.</w:t>
      </w:r>
    </w:p>
    <w:p>
      <w:pPr>
        <w:pStyle w:val="ListParagraph"/>
        <w:numPr>
          <w:ilvl w:val="0"/>
          <w:numId w:val="2"/>
        </w:numPr>
        <w:spacing w:after="40" w:before="40"/>
      </w:pPr>
      <w:r>
        <w:rPr>
          <w:rFonts w:ascii="Arial" w:cs="Arial" w:eastAsia="Arial" w:hAnsi="Arial"/>
          <w:b w:val="false"/>
          <w:bCs w:val="false"/>
          <w:color w:val="444444"/>
          <w:sz w:val="22"/>
          <w:szCs w:val="22"/>
        </w:rPr>
        <w:t xml:space="preserve">Datenschutz by Design: Die App läuft vollständig im Browser. Es werden keine Daten gespeichert, übertragen oder protokolliert.</w:t>
      </w:r>
    </w:p>
    <w:p>
      <w:pPr>
        <w:pStyle w:val="ListParagraph"/>
        <w:numPr>
          <w:ilvl w:val="0"/>
          <w:numId w:val="2"/>
        </w:numPr>
        <w:spacing w:after="40" w:before="40"/>
      </w:pPr>
      <w:r>
        <w:rPr>
          <w:rFonts w:ascii="Arial" w:cs="Arial" w:eastAsia="Arial" w:hAnsi="Arial"/>
          <w:b w:val="false"/>
          <w:bCs w:val="false"/>
          <w:color w:val="444444"/>
          <w:sz w:val="22"/>
          <w:szCs w:val="22"/>
        </w:rPr>
        <w:t xml:space="preserve">Offline-fähig: Die App ist eine einzelne HTML-Datei ohne Server, Datenbank oder externe Abhängigkeiten.</w:t>
      </w:r>
    </w:p>
    <w:p>
      <w:pPr>
        <w:spacing w:after="80" w:before="80"/>
      </w:pPr>
      <w:r>
        <w:t xml:space="preserve"/>
      </w:r>
    </w:p>
    <w:p>
      <w:pPr>
        <w:pStyle w:val="Heading1"/>
        <w:pBdr>
          <w:bottom w:val="single" w:color="1A3D6B" w:sz="6" w:space="4"/>
        </w:pBdr>
        <w:spacing w:after="120" w:before="360"/>
      </w:pPr>
      <w:r>
        <w:rPr>
          <w:rFonts w:ascii="Arial" w:cs="Arial" w:eastAsia="Arial" w:hAnsi="Arial"/>
          <w:b/>
          <w:bCs/>
          <w:color w:val="1A3D6B"/>
          <w:sz w:val="28"/>
          <w:szCs w:val="28"/>
        </w:rPr>
        <w:t xml:space="preserve">2. Aufbau und Struktur</w:t>
      </w:r>
    </w:p>
    <w:p>
      <w:pPr>
        <w:spacing w:after="80" w:before="60"/>
      </w:pPr>
      <w:r>
        <w:rPr>
          <w:rFonts w:ascii="Arial" w:cs="Arial" w:eastAsia="Arial" w:hAnsi="Arial"/>
          <w:color w:val="444444"/>
          <w:sz w:val="22"/>
          <w:szCs w:val="22"/>
        </w:rPr>
        <w:t xml:space="preserve">Die App besteht aus 30 Modulen in drei Themenbereichen. Jedes Modul enthält 4–5 Aufgaben und einen abschließenden Handlungsauftrag, der im persönlichen Handlungstresor gespeichert wird.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D6B" w:val="clear"/>
            <w:tcMar>
              <w:top w:type="dxa" w:w="80"/>
              <w:left w:type="dxa" w:w="120"/>
              <w:bottom w:type="dxa" w:w="80"/>
              <w:right w:type="dxa" w:w="120"/>
            </w:tcMar>
          </w:tcPr>
          <w:p>
            <w:r>
              <w:rPr>
                <w:rFonts w:ascii="Arial" w:cs="Arial" w:eastAsia="Arial" w:hAnsi="Arial"/>
                <w:b/>
                <w:bCs/>
                <w:color w:val="FFFFFF"/>
                <w:sz w:val="20"/>
                <w:szCs w:val="20"/>
              </w:rPr>
              <w:t xml:space="preserve">Thema</w:t>
            </w:r>
          </w:p>
        </w:tc>
        <w:tc>
          <w:tcPr>
            <w:tcW w:type="dxa" w:w="3120"/>
            <w:tcBorders>
              <w:top w:val="single" w:color="CCCCCC" w:sz="1"/>
              <w:left w:val="single" w:color="CCCCCC" w:sz="1"/>
              <w:bottom w:val="single" w:color="CCCCCC" w:sz="1"/>
              <w:right w:val="single" w:color="CCCCCC" w:sz="1"/>
            </w:tcBorders>
            <w:shd w:fill="1A3D6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120"/>
            <w:tcBorders>
              <w:top w:val="single" w:color="CCCCCC" w:sz="1"/>
              <w:left w:val="single" w:color="CCCCCC" w:sz="1"/>
              <w:bottom w:val="single" w:color="CCCCCC" w:sz="1"/>
              <w:right w:val="single" w:color="CCCCCC" w:sz="1"/>
            </w:tcBorders>
            <w:shd w:fill="1A3D6B" w:val="clear"/>
            <w:tcMar>
              <w:top w:type="dxa" w:w="80"/>
              <w:left w:type="dxa" w:w="120"/>
              <w:bottom w:type="dxa" w:w="80"/>
              <w:right w:type="dxa" w:w="120"/>
            </w:tcMar>
          </w:tcPr>
          <w:p>
            <w:r>
              <w:rPr>
                <w:rFonts w:ascii="Arial" w:cs="Arial" w:eastAsia="Arial" w:hAnsi="Arial"/>
                <w:b/>
                <w:bCs/>
                <w:color w:val="FFFFFF"/>
                <w:sz w:val="20"/>
                <w:szCs w:val="20"/>
              </w:rPr>
              <w:t xml:space="preserve">Aufgaben je Modul</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44444"/>
                <w:sz w:val="20"/>
                <w:szCs w:val="20"/>
              </w:rPr>
              <w:t xml:space="preserve">🔍 Erkennen</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44444"/>
                <w:sz w:val="20"/>
                <w:szCs w:val="20"/>
              </w:rPr>
              <w:t xml:space="preserve">10 Module</w:t>
            </w:r>
          </w:p>
        </w:tc>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444444"/>
                <w:sz w:val="20"/>
                <w:szCs w:val="20"/>
              </w:rPr>
              <w:t xml:space="preserve">4–5 Aufgaben</w:t>
            </w:r>
          </w:p>
        </w:tc>
      </w:tr>
      <w:tr>
        <w:tc>
          <w:tcPr>
            <w:tcW w:type="dxa" w:w="3120"/>
            <w:tcBorders>
              <w:top w:val="single" w:color="CCCCCC" w:sz="1"/>
              <w:left w:val="single" w:color="CCCCCC" w:sz="1"/>
              <w:bottom w:val="single" w:color="CCCCCC" w:sz="1"/>
              <w:right w:val="single" w:color="CCCCCC" w:sz="1"/>
            </w:tcBorders>
            <w:shd w:fill="D4EDE7" w:val="clear"/>
            <w:tcMar>
              <w:top w:type="dxa" w:w="80"/>
              <w:left w:type="dxa" w:w="120"/>
              <w:bottom w:type="dxa" w:w="80"/>
              <w:right w:type="dxa" w:w="120"/>
            </w:tcMar>
          </w:tcPr>
          <w:p>
            <w:r>
              <w:rPr>
                <w:rFonts w:ascii="Arial" w:cs="Arial" w:eastAsia="Arial" w:hAnsi="Arial"/>
                <w:color w:val="444444"/>
                <w:sz w:val="20"/>
                <w:szCs w:val="20"/>
              </w:rPr>
              <w:t xml:space="preserve">💬 Reflektieren</w:t>
            </w:r>
          </w:p>
        </w:tc>
        <w:tc>
          <w:tcPr>
            <w:tcW w:type="dxa" w:w="3120"/>
            <w:tcBorders>
              <w:top w:val="single" w:color="CCCCCC" w:sz="1"/>
              <w:left w:val="single" w:color="CCCCCC" w:sz="1"/>
              <w:bottom w:val="single" w:color="CCCCCC" w:sz="1"/>
              <w:right w:val="single" w:color="CCCCCC" w:sz="1"/>
            </w:tcBorders>
            <w:shd w:fill="D4EDE7" w:val="clear"/>
            <w:tcMar>
              <w:top w:type="dxa" w:w="80"/>
              <w:left w:type="dxa" w:w="120"/>
              <w:bottom w:type="dxa" w:w="80"/>
              <w:right w:type="dxa" w:w="120"/>
            </w:tcMar>
          </w:tcPr>
          <w:p>
            <w:r>
              <w:rPr>
                <w:rFonts w:ascii="Arial" w:cs="Arial" w:eastAsia="Arial" w:hAnsi="Arial"/>
                <w:color w:val="444444"/>
                <w:sz w:val="20"/>
                <w:szCs w:val="20"/>
              </w:rPr>
              <w:t xml:space="preserve">10 Module</w:t>
            </w:r>
          </w:p>
        </w:tc>
        <w:tc>
          <w:tcPr>
            <w:tcW w:type="dxa" w:w="3120"/>
            <w:tcBorders>
              <w:top w:val="single" w:color="CCCCCC" w:sz="1"/>
              <w:left w:val="single" w:color="CCCCCC" w:sz="1"/>
              <w:bottom w:val="single" w:color="CCCCCC" w:sz="1"/>
              <w:right w:val="single" w:color="CCCCCC" w:sz="1"/>
            </w:tcBorders>
            <w:shd w:fill="D4EDE7" w:val="clear"/>
            <w:tcMar>
              <w:top w:type="dxa" w:w="80"/>
              <w:left w:type="dxa" w:w="120"/>
              <w:bottom w:type="dxa" w:w="80"/>
              <w:right w:type="dxa" w:w="120"/>
            </w:tcMar>
          </w:tcPr>
          <w:p>
            <w:r>
              <w:rPr>
                <w:rFonts w:ascii="Arial" w:cs="Arial" w:eastAsia="Arial" w:hAnsi="Arial"/>
                <w:color w:val="444444"/>
                <w:sz w:val="20"/>
                <w:szCs w:val="20"/>
              </w:rPr>
              <w:t xml:space="preserve">4–5 Aufgaben</w:t>
            </w:r>
          </w:p>
        </w:tc>
      </w:tr>
      <w:tr>
        <w:tc>
          <w:tcPr>
            <w:tcW w:type="dxa" w:w="3120"/>
            <w:tcBorders>
              <w:top w:val="single" w:color="CCCCCC" w:sz="1"/>
              <w:left w:val="single" w:color="CCCCCC" w:sz="1"/>
              <w:bottom w:val="single" w:color="CCCCCC" w:sz="1"/>
              <w:right w:val="single" w:color="CCCCCC" w:sz="1"/>
            </w:tcBorders>
            <w:shd w:fill="FCE8D8" w:val="clear"/>
            <w:tcMar>
              <w:top w:type="dxa" w:w="80"/>
              <w:left w:type="dxa" w:w="120"/>
              <w:bottom w:type="dxa" w:w="80"/>
              <w:right w:type="dxa" w:w="120"/>
            </w:tcMar>
          </w:tcPr>
          <w:p>
            <w:r>
              <w:rPr>
                <w:rFonts w:ascii="Arial" w:cs="Arial" w:eastAsia="Arial" w:hAnsi="Arial"/>
                <w:color w:val="444444"/>
                <w:sz w:val="20"/>
                <w:szCs w:val="20"/>
              </w:rPr>
              <w:t xml:space="preserve">✊ Handeln</w:t>
            </w:r>
          </w:p>
        </w:tc>
        <w:tc>
          <w:tcPr>
            <w:tcW w:type="dxa" w:w="3120"/>
            <w:tcBorders>
              <w:top w:val="single" w:color="CCCCCC" w:sz="1"/>
              <w:left w:val="single" w:color="CCCCCC" w:sz="1"/>
              <w:bottom w:val="single" w:color="CCCCCC" w:sz="1"/>
              <w:right w:val="single" w:color="CCCCCC" w:sz="1"/>
            </w:tcBorders>
            <w:shd w:fill="FCE8D8" w:val="clear"/>
            <w:tcMar>
              <w:top w:type="dxa" w:w="80"/>
              <w:left w:type="dxa" w:w="120"/>
              <w:bottom w:type="dxa" w:w="80"/>
              <w:right w:type="dxa" w:w="120"/>
            </w:tcMar>
          </w:tcPr>
          <w:p>
            <w:r>
              <w:rPr>
                <w:rFonts w:ascii="Arial" w:cs="Arial" w:eastAsia="Arial" w:hAnsi="Arial"/>
                <w:color w:val="444444"/>
                <w:sz w:val="20"/>
                <w:szCs w:val="20"/>
              </w:rPr>
              <w:t xml:space="preserve">10 Module</w:t>
            </w:r>
          </w:p>
        </w:tc>
        <w:tc>
          <w:tcPr>
            <w:tcW w:type="dxa" w:w="3120"/>
            <w:tcBorders>
              <w:top w:val="single" w:color="CCCCCC" w:sz="1"/>
              <w:left w:val="single" w:color="CCCCCC" w:sz="1"/>
              <w:bottom w:val="single" w:color="CCCCCC" w:sz="1"/>
              <w:right w:val="single" w:color="CCCCCC" w:sz="1"/>
            </w:tcBorders>
            <w:shd w:fill="FCE8D8" w:val="clear"/>
            <w:tcMar>
              <w:top w:type="dxa" w:w="80"/>
              <w:left w:type="dxa" w:w="120"/>
              <w:bottom w:type="dxa" w:w="80"/>
              <w:right w:type="dxa" w:w="120"/>
            </w:tcMar>
          </w:tcPr>
          <w:p>
            <w:r>
              <w:rPr>
                <w:rFonts w:ascii="Arial" w:cs="Arial" w:eastAsia="Arial" w:hAnsi="Arial"/>
                <w:color w:val="444444"/>
                <w:sz w:val="20"/>
                <w:szCs w:val="20"/>
              </w:rPr>
              <w:t xml:space="preserve">4–5 Aufgaben</w:t>
            </w:r>
          </w:p>
        </w:tc>
      </w:tr>
      <w:tr>
        <w:tc>
          <w:tcPr>
            <w:tcW w:type="dxa" w:w="6240"/>
            <w:gridSpan w:val="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Gesamt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30 Module / ~9 Stunden</w:t>
            </w:r>
          </w:p>
        </w:tc>
      </w:tr>
    </w:tbl>
    <w:p>
      <w:pPr>
        <w:spacing w:after="80" w:before="80"/>
      </w:pPr>
      <w:r>
        <w:t xml:space="preserve"/>
      </w:r>
    </w:p>
    <w:p>
      <w:pPr>
        <w:pStyle w:val="Heading2"/>
        <w:spacing w:after="80" w:before="280"/>
      </w:pPr>
      <w:r>
        <w:rPr>
          <w:rFonts w:ascii="Arial" w:cs="Arial" w:eastAsia="Arial" w:hAnsi="Arial"/>
          <w:b/>
          <w:bCs/>
          <w:color w:val="1B6B5A"/>
          <w:sz w:val="24"/>
          <w:szCs w:val="24"/>
        </w:rPr>
        <w:t xml:space="preserve">Aufgabentypen</w:t>
      </w:r>
    </w:p>
    <w:p>
      <w:pPr>
        <w:pStyle w:val="ListParagraph"/>
        <w:numPr>
          <w:ilvl w:val="0"/>
          <w:numId w:val="2"/>
        </w:numPr>
        <w:spacing w:after="40" w:before="40"/>
      </w:pPr>
      <w:r>
        <w:rPr>
          <w:rFonts w:ascii="Arial" w:cs="Arial" w:eastAsia="Arial" w:hAnsi="Arial"/>
          <w:b w:val="false"/>
          <w:bCs w:val="false"/>
          <w:color w:val="444444"/>
          <w:sz w:val="22"/>
          <w:szCs w:val="22"/>
        </w:rPr>
        <w:t xml:space="preserve">Einzelauswahl (Quizfragen): Eine richtige Antwort aus drei Optionen. Direktes Feedback mit Erklärung.</w:t>
      </w:r>
    </w:p>
    <w:p>
      <w:pPr>
        <w:pStyle w:val="ListParagraph"/>
        <w:numPr>
          <w:ilvl w:val="0"/>
          <w:numId w:val="2"/>
        </w:numPr>
        <w:spacing w:after="40" w:before="40"/>
      </w:pPr>
      <w:r>
        <w:rPr>
          <w:rFonts w:ascii="Arial" w:cs="Arial" w:eastAsia="Arial" w:hAnsi="Arial"/>
          <w:b w:val="false"/>
          <w:bCs w:val="false"/>
          <w:color w:val="444444"/>
          <w:sz w:val="22"/>
          <w:szCs w:val="22"/>
        </w:rPr>
        <w:t xml:space="preserve">Mehrfachauswahl: Mehrere richtige Antworten möglich. Auswahl und gemeinsame Auswertung.</w:t>
      </w:r>
    </w:p>
    <w:p>
      <w:pPr>
        <w:pStyle w:val="ListParagraph"/>
        <w:numPr>
          <w:ilvl w:val="0"/>
          <w:numId w:val="2"/>
        </w:numPr>
        <w:spacing w:after="40" w:before="40"/>
      </w:pPr>
      <w:r>
        <w:rPr>
          <w:rFonts w:ascii="Arial" w:cs="Arial" w:eastAsia="Arial" w:hAnsi="Arial"/>
          <w:b w:val="false"/>
          <w:bCs w:val="false"/>
          <w:color w:val="444444"/>
          <w:sz w:val="22"/>
          <w:szCs w:val="22"/>
        </w:rPr>
        <w:t xml:space="preserve">Handlungsauftrag (Freitext): Ein persönlicher Auftrag an sich selbst. Wird im Handlungstresor gespeichert.</w:t>
      </w:r>
    </w:p>
    <w:p>
      <w:pPr>
        <w:spacing w:after="80" w:before="80"/>
      </w:pPr>
      <w:r>
        <w:t xml:space="preserve"/>
      </w:r>
    </w:p>
    <w:p>
      <w:pPr>
        <w:pStyle w:val="Heading2"/>
        <w:spacing w:after="80" w:before="280"/>
      </w:pPr>
      <w:r>
        <w:rPr>
          <w:rFonts w:ascii="Arial" w:cs="Arial" w:eastAsia="Arial" w:hAnsi="Arial"/>
          <w:b/>
          <w:bCs/>
          <w:color w:val="1B6B5A"/>
          <w:sz w:val="24"/>
          <w:szCs w:val="24"/>
        </w:rPr>
        <w:t xml:space="preserve">Thema 1: Erkennen</w:t>
      </w:r>
    </w:p>
    <w:p>
      <w:pPr>
        <w:spacing w:after="80" w:before="60"/>
      </w:pPr>
      <w:r>
        <w:rPr>
          <w:rFonts w:ascii="Arial" w:cs="Arial" w:eastAsia="Arial" w:hAnsi="Arial"/>
          <w:color w:val="444444"/>
          <w:sz w:val="22"/>
          <w:szCs w:val="22"/>
        </w:rPr>
        <w:t xml:space="preserve">Die 10 Module des ersten Themenbereichs bauen Grundwissen über Rassismus auf:</w:t>
      </w:r>
    </w:p>
    <w:p>
      <w:pPr>
        <w:pStyle w:val="ListParagraph"/>
        <w:numPr>
          <w:ilvl w:val="0"/>
          <w:numId w:val="3"/>
        </w:numPr>
        <w:spacing w:after="30" w:before="30"/>
      </w:pPr>
      <w:r>
        <w:rPr>
          <w:rFonts w:ascii="Arial" w:cs="Arial" w:eastAsia="Arial" w:hAnsi="Arial"/>
          <w:color w:val="666666"/>
          <w:sz w:val="20"/>
          <w:szCs w:val="20"/>
        </w:rPr>
        <w:t xml:space="preserve">Was ist Rassismus? – Definitionen, Machtkomponente, Unterschied zu Vorurteil</w:t>
      </w:r>
    </w:p>
    <w:p>
      <w:pPr>
        <w:pStyle w:val="ListParagraph"/>
        <w:numPr>
          <w:ilvl w:val="0"/>
          <w:numId w:val="3"/>
        </w:numPr>
        <w:spacing w:after="30" w:before="30"/>
      </w:pPr>
      <w:r>
        <w:rPr>
          <w:rFonts w:ascii="Arial" w:cs="Arial" w:eastAsia="Arial" w:hAnsi="Arial"/>
          <w:color w:val="666666"/>
          <w:sz w:val="20"/>
          <w:szCs w:val="20"/>
        </w:rPr>
        <w:t xml:space="preserve">Alltagsrassismus – Erscheinungsformen im täglichen Leben</w:t>
      </w:r>
    </w:p>
    <w:p>
      <w:pPr>
        <w:pStyle w:val="ListParagraph"/>
        <w:numPr>
          <w:ilvl w:val="0"/>
          <w:numId w:val="3"/>
        </w:numPr>
        <w:spacing w:after="30" w:before="30"/>
      </w:pPr>
      <w:r>
        <w:rPr>
          <w:rFonts w:ascii="Arial" w:cs="Arial" w:eastAsia="Arial" w:hAnsi="Arial"/>
          <w:color w:val="666666"/>
          <w:sz w:val="20"/>
          <w:szCs w:val="20"/>
        </w:rPr>
        <w:t xml:space="preserve">Struktureller Rassismus – Systeme und Institutionen</w:t>
      </w:r>
    </w:p>
    <w:p>
      <w:pPr>
        <w:pStyle w:val="ListParagraph"/>
        <w:numPr>
          <w:ilvl w:val="0"/>
          <w:numId w:val="3"/>
        </w:numPr>
        <w:spacing w:after="30" w:before="30"/>
      </w:pPr>
      <w:r>
        <w:rPr>
          <w:rFonts w:ascii="Arial" w:cs="Arial" w:eastAsia="Arial" w:hAnsi="Arial"/>
          <w:color w:val="666666"/>
          <w:sz w:val="20"/>
          <w:szCs w:val="20"/>
        </w:rPr>
        <w:t xml:space="preserve">Kulturrassismus &amp; moderne Formen – Ethnopluralismus, neue Sprache</w:t>
      </w:r>
    </w:p>
    <w:p>
      <w:pPr>
        <w:pStyle w:val="ListParagraph"/>
        <w:numPr>
          <w:ilvl w:val="0"/>
          <w:numId w:val="3"/>
        </w:numPr>
        <w:spacing w:after="30" w:before="30"/>
      </w:pPr>
      <w:r>
        <w:rPr>
          <w:rFonts w:ascii="Arial" w:cs="Arial" w:eastAsia="Arial" w:hAnsi="Arial"/>
          <w:color w:val="666666"/>
          <w:sz w:val="20"/>
          <w:szCs w:val="20"/>
        </w:rPr>
        <w:t xml:space="preserve">Kolonialismus &amp; seine Folgen – Geschichte und Gegenwart</w:t>
      </w:r>
    </w:p>
    <w:p>
      <w:pPr>
        <w:pStyle w:val="ListParagraph"/>
        <w:numPr>
          <w:ilvl w:val="0"/>
          <w:numId w:val="3"/>
        </w:numPr>
        <w:spacing w:after="30" w:before="30"/>
      </w:pPr>
      <w:r>
        <w:rPr>
          <w:rFonts w:ascii="Arial" w:cs="Arial" w:eastAsia="Arial" w:hAnsi="Arial"/>
          <w:color w:val="666666"/>
          <w:sz w:val="20"/>
          <w:szCs w:val="20"/>
        </w:rPr>
        <w:t xml:space="preserve">Sprache &amp; rassistische Begriffe – Wirkung von Worten</w:t>
      </w:r>
    </w:p>
    <w:p>
      <w:pPr>
        <w:pStyle w:val="ListParagraph"/>
        <w:numPr>
          <w:ilvl w:val="0"/>
          <w:numId w:val="3"/>
        </w:numPr>
        <w:spacing w:after="30" w:before="30"/>
      </w:pPr>
      <w:r>
        <w:rPr>
          <w:rFonts w:ascii="Arial" w:cs="Arial" w:eastAsia="Arial" w:hAnsi="Arial"/>
          <w:color w:val="666666"/>
          <w:sz w:val="20"/>
          <w:szCs w:val="20"/>
        </w:rPr>
        <w:t xml:space="preserve">Das Konzept »Wir« und »Die« – Othering</w:t>
      </w:r>
    </w:p>
    <w:p>
      <w:pPr>
        <w:pStyle w:val="ListParagraph"/>
        <w:numPr>
          <w:ilvl w:val="0"/>
          <w:numId w:val="3"/>
        </w:numPr>
        <w:spacing w:after="30" w:before="30"/>
      </w:pPr>
      <w:r>
        <w:rPr>
          <w:rFonts w:ascii="Arial" w:cs="Arial" w:eastAsia="Arial" w:hAnsi="Arial"/>
          <w:color w:val="666666"/>
          <w:sz w:val="20"/>
          <w:szCs w:val="20"/>
        </w:rPr>
        <w:t xml:space="preserve">Rassismus in Institutionen – strukturelle Diskriminierung</w:t>
      </w:r>
    </w:p>
    <w:p>
      <w:pPr>
        <w:pStyle w:val="ListParagraph"/>
        <w:numPr>
          <w:ilvl w:val="0"/>
          <w:numId w:val="3"/>
        </w:numPr>
        <w:spacing w:after="30" w:before="30"/>
      </w:pPr>
      <w:r>
        <w:rPr>
          <w:rFonts w:ascii="Arial" w:cs="Arial" w:eastAsia="Arial" w:hAnsi="Arial"/>
          <w:color w:val="666666"/>
          <w:sz w:val="20"/>
          <w:szCs w:val="20"/>
        </w:rPr>
        <w:t xml:space="preserve">Rassismus &amp; Antisemitismus – Gemeinsamkeiten und Unterschiede</w:t>
      </w:r>
    </w:p>
    <w:p>
      <w:pPr>
        <w:pStyle w:val="ListParagraph"/>
        <w:numPr>
          <w:ilvl w:val="0"/>
          <w:numId w:val="3"/>
        </w:numPr>
        <w:spacing w:after="30" w:before="30"/>
      </w:pPr>
      <w:r>
        <w:rPr>
          <w:rFonts w:ascii="Arial" w:cs="Arial" w:eastAsia="Arial" w:hAnsi="Arial"/>
          <w:color w:val="666666"/>
          <w:sz w:val="20"/>
          <w:szCs w:val="20"/>
        </w:rPr>
        <w:t xml:space="preserve">Wiederholung &amp; Vertiefung – BIPoC, Kernkonzepte</w:t>
      </w:r>
    </w:p>
    <w:p>
      <w:pPr>
        <w:spacing w:after="80" w:before="80"/>
      </w:pPr>
      <w:r>
        <w:t xml:space="preserve"/>
      </w:r>
    </w:p>
    <w:p>
      <w:pPr>
        <w:pStyle w:val="Heading2"/>
        <w:spacing w:after="80" w:before="280"/>
      </w:pPr>
      <w:r>
        <w:rPr>
          <w:rFonts w:ascii="Arial" w:cs="Arial" w:eastAsia="Arial" w:hAnsi="Arial"/>
          <w:b/>
          <w:bCs/>
          <w:color w:val="1B6B5A"/>
          <w:sz w:val="24"/>
          <w:szCs w:val="24"/>
        </w:rPr>
        <w:t xml:space="preserve">Thema 2: Reflektieren</w:t>
      </w:r>
    </w:p>
    <w:p>
      <w:pPr>
        <w:spacing w:after="80" w:before="60"/>
      </w:pPr>
      <w:r>
        <w:rPr>
          <w:rFonts w:ascii="Arial" w:cs="Arial" w:eastAsia="Arial" w:hAnsi="Arial"/>
          <w:color w:val="444444"/>
          <w:sz w:val="22"/>
          <w:szCs w:val="22"/>
        </w:rPr>
        <w:t xml:space="preserve">Die 10 Reflexionsmodule fördern Selbstwahrnehmung und kritisches Denken:</w:t>
      </w:r>
    </w:p>
    <w:p>
      <w:pPr>
        <w:pStyle w:val="ListParagraph"/>
        <w:numPr>
          <w:ilvl w:val="0"/>
          <w:numId w:val="3"/>
        </w:numPr>
        <w:spacing w:after="30" w:before="30"/>
      </w:pPr>
      <w:r>
        <w:rPr>
          <w:rFonts w:ascii="Arial" w:cs="Arial" w:eastAsia="Arial" w:hAnsi="Arial"/>
          <w:color w:val="666666"/>
          <w:sz w:val="20"/>
          <w:szCs w:val="20"/>
        </w:rPr>
        <w:t xml:space="preserve">Privileg erkennen – unsichtbare Vorteile wahrnehmen und nutzen</w:t>
      </w:r>
    </w:p>
    <w:p>
      <w:pPr>
        <w:pStyle w:val="ListParagraph"/>
        <w:numPr>
          <w:ilvl w:val="0"/>
          <w:numId w:val="3"/>
        </w:numPr>
        <w:spacing w:after="30" w:before="30"/>
      </w:pPr>
      <w:r>
        <w:rPr>
          <w:rFonts w:ascii="Arial" w:cs="Arial" w:eastAsia="Arial" w:hAnsi="Arial"/>
          <w:color w:val="666666"/>
          <w:sz w:val="20"/>
          <w:szCs w:val="20"/>
        </w:rPr>
        <w:t xml:space="preserve">Vorurteile &amp; Gehirn – Autopilot und unbewusste Programme</w:t>
      </w:r>
    </w:p>
    <w:p>
      <w:pPr>
        <w:pStyle w:val="ListParagraph"/>
        <w:numPr>
          <w:ilvl w:val="0"/>
          <w:numId w:val="3"/>
        </w:numPr>
        <w:spacing w:after="30" w:before="30"/>
      </w:pPr>
      <w:r>
        <w:rPr>
          <w:rFonts w:ascii="Arial" w:cs="Arial" w:eastAsia="Arial" w:hAnsi="Arial"/>
          <w:color w:val="666666"/>
          <w:sz w:val="20"/>
          <w:szCs w:val="20"/>
        </w:rPr>
        <w:t xml:space="preserve">Innocent Racism – Wirkung ohne Absicht</w:t>
      </w:r>
    </w:p>
    <w:p>
      <w:pPr>
        <w:pStyle w:val="ListParagraph"/>
        <w:numPr>
          <w:ilvl w:val="0"/>
          <w:numId w:val="3"/>
        </w:numPr>
        <w:spacing w:after="30" w:before="30"/>
      </w:pPr>
      <w:r>
        <w:rPr>
          <w:rFonts w:ascii="Arial" w:cs="Arial" w:eastAsia="Arial" w:hAnsi="Arial"/>
          <w:color w:val="666666"/>
          <w:sz w:val="20"/>
          <w:szCs w:val="20"/>
        </w:rPr>
        <w:t xml:space="preserve">Ally sein – aktive Solidarität</w:t>
      </w:r>
    </w:p>
    <w:p>
      <w:pPr>
        <w:pStyle w:val="ListParagraph"/>
        <w:numPr>
          <w:ilvl w:val="0"/>
          <w:numId w:val="3"/>
        </w:numPr>
        <w:spacing w:after="30" w:before="30"/>
      </w:pPr>
      <w:r>
        <w:rPr>
          <w:rFonts w:ascii="Arial" w:cs="Arial" w:eastAsia="Arial" w:hAnsi="Arial"/>
          <w:color w:val="666666"/>
          <w:sz w:val="20"/>
          <w:szCs w:val="20"/>
        </w:rPr>
        <w:t xml:space="preserve">Empathie &amp; Perspektivwechsel – andere Lebensrealitäten verstehen</w:t>
      </w:r>
    </w:p>
    <w:p>
      <w:pPr>
        <w:pStyle w:val="ListParagraph"/>
        <w:numPr>
          <w:ilvl w:val="0"/>
          <w:numId w:val="3"/>
        </w:numPr>
        <w:spacing w:after="30" w:before="30"/>
      </w:pPr>
      <w:r>
        <w:rPr>
          <w:rFonts w:ascii="Arial" w:cs="Arial" w:eastAsia="Arial" w:hAnsi="Arial"/>
          <w:color w:val="666666"/>
          <w:sz w:val="20"/>
          <w:szCs w:val="20"/>
        </w:rPr>
        <w:t xml:space="preserve">Sprache verlernen – Verlernbuch, kulturelle Aneignung</w:t>
      </w:r>
    </w:p>
    <w:p>
      <w:pPr>
        <w:pStyle w:val="ListParagraph"/>
        <w:numPr>
          <w:ilvl w:val="0"/>
          <w:numId w:val="3"/>
        </w:numPr>
        <w:spacing w:after="30" w:before="30"/>
      </w:pPr>
      <w:r>
        <w:rPr>
          <w:rFonts w:ascii="Arial" w:cs="Arial" w:eastAsia="Arial" w:hAnsi="Arial"/>
          <w:color w:val="666666"/>
          <w:sz w:val="20"/>
          <w:szCs w:val="20"/>
        </w:rPr>
        <w:t xml:space="preserve">Stereotype hinterfragen – Mechanismen erkennen</w:t>
      </w:r>
    </w:p>
    <w:p>
      <w:pPr>
        <w:pStyle w:val="ListParagraph"/>
        <w:numPr>
          <w:ilvl w:val="0"/>
          <w:numId w:val="3"/>
        </w:numPr>
        <w:spacing w:after="30" w:before="30"/>
      </w:pPr>
      <w:r>
        <w:rPr>
          <w:rFonts w:ascii="Arial" w:cs="Arial" w:eastAsia="Arial" w:hAnsi="Arial"/>
          <w:color w:val="666666"/>
          <w:sz w:val="20"/>
          <w:szCs w:val="20"/>
        </w:rPr>
        <w:t xml:space="preserve">Rassismus in Medien – Sündenbockmechanismen, Online-Rassismus</w:t>
      </w:r>
    </w:p>
    <w:p>
      <w:pPr>
        <w:pStyle w:val="ListParagraph"/>
        <w:numPr>
          <w:ilvl w:val="0"/>
          <w:numId w:val="3"/>
        </w:numPr>
        <w:spacing w:after="30" w:before="30"/>
      </w:pPr>
      <w:r>
        <w:rPr>
          <w:rFonts w:ascii="Arial" w:cs="Arial" w:eastAsia="Arial" w:hAnsi="Arial"/>
          <w:color w:val="666666"/>
          <w:sz w:val="20"/>
          <w:szCs w:val="20"/>
        </w:rPr>
        <w:t xml:space="preserve">Identität &amp; Zugehörigkeit – Intersektionalität</w:t>
      </w:r>
    </w:p>
    <w:p>
      <w:pPr>
        <w:pStyle w:val="ListParagraph"/>
        <w:numPr>
          <w:ilvl w:val="0"/>
          <w:numId w:val="3"/>
        </w:numPr>
        <w:spacing w:after="30" w:before="30"/>
      </w:pPr>
      <w:r>
        <w:rPr>
          <w:rFonts w:ascii="Arial" w:cs="Arial" w:eastAsia="Arial" w:hAnsi="Arial"/>
          <w:color w:val="666666"/>
          <w:sz w:val="20"/>
          <w:szCs w:val="20"/>
        </w:rPr>
        <w:t xml:space="preserve">Antirassismus im Alltag – tägliche Praxis</w:t>
      </w:r>
    </w:p>
    <w:p>
      <w:pPr>
        <w:spacing w:after="80" w:before="80"/>
      </w:pPr>
      <w:r>
        <w:t xml:space="preserve"/>
      </w:r>
    </w:p>
    <w:p>
      <w:pPr>
        <w:pStyle w:val="Heading2"/>
        <w:spacing w:after="80" w:before="280"/>
      </w:pPr>
      <w:r>
        <w:rPr>
          <w:rFonts w:ascii="Arial" w:cs="Arial" w:eastAsia="Arial" w:hAnsi="Arial"/>
          <w:b/>
          <w:bCs/>
          <w:color w:val="1B6B5A"/>
          <w:sz w:val="24"/>
          <w:szCs w:val="24"/>
        </w:rPr>
        <w:t xml:space="preserve">Thema 3: Handeln</w:t>
      </w:r>
    </w:p>
    <w:p>
      <w:pPr>
        <w:spacing w:after="80" w:before="60"/>
      </w:pPr>
      <w:r>
        <w:rPr>
          <w:rFonts w:ascii="Arial" w:cs="Arial" w:eastAsia="Arial" w:hAnsi="Arial"/>
          <w:color w:val="444444"/>
          <w:sz w:val="22"/>
          <w:szCs w:val="22"/>
        </w:rPr>
        <w:t xml:space="preserve">Die 10 Handlungsmodule trainieren konkrete Zivilcourage:</w:t>
      </w:r>
    </w:p>
    <w:p>
      <w:pPr>
        <w:pStyle w:val="ListParagraph"/>
        <w:numPr>
          <w:ilvl w:val="0"/>
          <w:numId w:val="3"/>
        </w:numPr>
        <w:spacing w:after="30" w:before="30"/>
      </w:pPr>
      <w:r>
        <w:rPr>
          <w:rFonts w:ascii="Arial" w:cs="Arial" w:eastAsia="Arial" w:hAnsi="Arial"/>
          <w:color w:val="666666"/>
          <w:sz w:val="20"/>
          <w:szCs w:val="20"/>
        </w:rPr>
        <w:t xml:space="preserve">Zivilcourage – Grundlagen und Haltung</w:t>
      </w:r>
    </w:p>
    <w:p>
      <w:pPr>
        <w:pStyle w:val="ListParagraph"/>
        <w:numPr>
          <w:ilvl w:val="0"/>
          <w:numId w:val="3"/>
        </w:numPr>
        <w:spacing w:after="30" w:before="30"/>
      </w:pPr>
      <w:r>
        <w:rPr>
          <w:rFonts w:ascii="Arial" w:cs="Arial" w:eastAsia="Arial" w:hAnsi="Arial"/>
          <w:color w:val="666666"/>
          <w:sz w:val="20"/>
          <w:szCs w:val="20"/>
        </w:rPr>
        <w:t xml:space="preserve">Handlungsoptionen in konkreten Situationen – was tun?</w:t>
      </w:r>
    </w:p>
    <w:p>
      <w:pPr>
        <w:pStyle w:val="ListParagraph"/>
        <w:numPr>
          <w:ilvl w:val="0"/>
          <w:numId w:val="3"/>
        </w:numPr>
        <w:spacing w:after="30" w:before="30"/>
      </w:pPr>
      <w:r>
        <w:rPr>
          <w:rFonts w:ascii="Arial" w:cs="Arial" w:eastAsia="Arial" w:hAnsi="Arial"/>
          <w:color w:val="666666"/>
          <w:sz w:val="20"/>
          <w:szCs w:val="20"/>
        </w:rPr>
        <w:t xml:space="preserve">Racial Profiling &amp; Behörden – Rechte kennen</w:t>
      </w:r>
    </w:p>
    <w:p>
      <w:pPr>
        <w:pStyle w:val="ListParagraph"/>
        <w:numPr>
          <w:ilvl w:val="0"/>
          <w:numId w:val="3"/>
        </w:numPr>
        <w:spacing w:after="30" w:before="30"/>
      </w:pPr>
      <w:r>
        <w:rPr>
          <w:rFonts w:ascii="Arial" w:cs="Arial" w:eastAsia="Arial" w:hAnsi="Arial"/>
          <w:color w:val="666666"/>
          <w:sz w:val="20"/>
          <w:szCs w:val="20"/>
        </w:rPr>
        <w:t xml:space="preserve">Als Ally handeln – Fallbeispiele</w:t>
      </w:r>
    </w:p>
    <w:p>
      <w:pPr>
        <w:pStyle w:val="ListParagraph"/>
        <w:numPr>
          <w:ilvl w:val="0"/>
          <w:numId w:val="3"/>
        </w:numPr>
        <w:spacing w:after="30" w:before="30"/>
      </w:pPr>
      <w:r>
        <w:rPr>
          <w:rFonts w:ascii="Arial" w:cs="Arial" w:eastAsia="Arial" w:hAnsi="Arial"/>
          <w:color w:val="666666"/>
          <w:sz w:val="20"/>
          <w:szCs w:val="20"/>
        </w:rPr>
        <w:t xml:space="preserve">Schule ohne Rassismus – Schulkultur gestalten</w:t>
      </w:r>
    </w:p>
    <w:p>
      <w:pPr>
        <w:pStyle w:val="ListParagraph"/>
        <w:numPr>
          <w:ilvl w:val="0"/>
          <w:numId w:val="3"/>
        </w:numPr>
        <w:spacing w:after="30" w:before="30"/>
      </w:pPr>
      <w:r>
        <w:rPr>
          <w:rFonts w:ascii="Arial" w:cs="Arial" w:eastAsia="Arial" w:hAnsi="Arial"/>
          <w:color w:val="666666"/>
          <w:sz w:val="20"/>
          <w:szCs w:val="20"/>
        </w:rPr>
        <w:t xml:space="preserve">Mit Betroffenen kommunizieren – zuhören, fragen, stärken</w:t>
      </w:r>
    </w:p>
    <w:p>
      <w:pPr>
        <w:pStyle w:val="ListParagraph"/>
        <w:numPr>
          <w:ilvl w:val="0"/>
          <w:numId w:val="3"/>
        </w:numPr>
        <w:spacing w:after="30" w:before="30"/>
      </w:pPr>
      <w:r>
        <w:rPr>
          <w:rFonts w:ascii="Arial" w:cs="Arial" w:eastAsia="Arial" w:hAnsi="Arial"/>
          <w:color w:val="666666"/>
          <w:sz w:val="20"/>
          <w:szCs w:val="20"/>
        </w:rPr>
        <w:t xml:space="preserve">Antirassismus in sozialen Medien – online handeln</w:t>
      </w:r>
    </w:p>
    <w:p>
      <w:pPr>
        <w:pStyle w:val="ListParagraph"/>
        <w:numPr>
          <w:ilvl w:val="0"/>
          <w:numId w:val="3"/>
        </w:numPr>
        <w:spacing w:after="30" w:before="30"/>
      </w:pPr>
      <w:r>
        <w:rPr>
          <w:rFonts w:ascii="Arial" w:cs="Arial" w:eastAsia="Arial" w:hAnsi="Arial"/>
          <w:color w:val="666666"/>
          <w:sz w:val="20"/>
          <w:szCs w:val="20"/>
        </w:rPr>
        <w:t xml:space="preserve">Vorbilder &amp; Gemeinschaft – Motivation und Netzwerk</w:t>
      </w:r>
    </w:p>
    <w:p>
      <w:pPr>
        <w:pStyle w:val="ListParagraph"/>
        <w:numPr>
          <w:ilvl w:val="0"/>
          <w:numId w:val="3"/>
        </w:numPr>
        <w:spacing w:after="30" w:before="30"/>
      </w:pPr>
      <w:r>
        <w:rPr>
          <w:rFonts w:ascii="Arial" w:cs="Arial" w:eastAsia="Arial" w:hAnsi="Arial"/>
          <w:color w:val="666666"/>
          <w:sz w:val="20"/>
          <w:szCs w:val="20"/>
        </w:rPr>
        <w:t xml:space="preserve">Fehler machen &amp; weitermachen – Lernprozess</w:t>
      </w:r>
    </w:p>
    <w:p>
      <w:pPr>
        <w:pStyle w:val="ListParagraph"/>
        <w:numPr>
          <w:ilvl w:val="0"/>
          <w:numId w:val="3"/>
        </w:numPr>
        <w:spacing w:after="30" w:before="30"/>
      </w:pPr>
      <w:r>
        <w:rPr>
          <w:rFonts w:ascii="Arial" w:cs="Arial" w:eastAsia="Arial" w:hAnsi="Arial"/>
          <w:color w:val="666666"/>
          <w:sz w:val="20"/>
          <w:szCs w:val="20"/>
        </w:rPr>
        <w:t xml:space="preserve">Mein Weg nach vorne – persönliches Manifest</w:t>
      </w:r>
    </w:p>
    <w:p>
      <w:pPr>
        <w:spacing w:after="80" w:before="80"/>
      </w:pPr>
      <w:r>
        <w:t xml:space="preserve"/>
      </w:r>
    </w:p>
    <w:p>
      <w:pPr>
        <w:pStyle w:val="Heading1"/>
        <w:pBdr>
          <w:bottom w:val="single" w:color="1A3D6B" w:sz="6" w:space="4"/>
        </w:pBdr>
        <w:spacing w:after="120" w:before="360"/>
      </w:pPr>
      <w:r>
        <w:rPr>
          <w:rFonts w:ascii="Arial" w:cs="Arial" w:eastAsia="Arial" w:hAnsi="Arial"/>
          <w:b/>
          <w:bCs/>
          <w:color w:val="1A3D6B"/>
          <w:sz w:val="28"/>
          <w:szCs w:val="28"/>
        </w:rPr>
        <w:t xml:space="preserve">3. Der Handlungstresor</w:t>
      </w:r>
    </w:p>
    <w:p>
      <w:pPr>
        <w:spacing w:after="80" w:before="60"/>
      </w:pPr>
      <w:r>
        <w:rPr>
          <w:rFonts w:ascii="Arial" w:cs="Arial" w:eastAsia="Arial" w:hAnsi="Arial"/>
          <w:color w:val="444444"/>
          <w:sz w:val="22"/>
          <w:szCs w:val="22"/>
        </w:rPr>
        <w:t xml:space="preserve">Der Handlungstresor ist das Herzstück der App. Er ist ein privater, geschützter Bereich, in dem ausschließlich persönliche Handlungsaufträge gespeichert werden.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4EDE7" w:val="clear"/>
            <w:tcMar>
              <w:top w:type="dxa" w:w="120"/>
              <w:left w:type="dxa" w:w="180"/>
              <w:bottom w:type="dxa" w:w="120"/>
              <w:right w:type="dxa" w:w="180"/>
            </w:tcMar>
          </w:tcPr>
          <w:p>
            <w:pPr>
              <w:spacing w:after="60" w:before="0"/>
            </w:pPr>
            <w:r>
              <w:rPr>
                <w:rFonts w:ascii="Arial" w:cs="Arial" w:eastAsia="Arial" w:hAnsi="Arial"/>
                <w:b/>
                <w:bCs/>
                <w:color w:val="1A3D6B"/>
                <w:sz w:val="20"/>
                <w:szCs w:val="20"/>
              </w:rPr>
              <w:t xml:space="preserve">Was im Tresor landet</w:t>
            </w:r>
          </w:p>
          <w:p>
            <w:pPr>
              <w:spacing w:after="0" w:before="0"/>
            </w:pPr>
            <w:r>
              <w:rPr>
                <w:rFonts w:ascii="Arial" w:cs="Arial" w:eastAsia="Arial" w:hAnsi="Arial"/>
                <w:color w:val="444444"/>
                <w:sz w:val="20"/>
                <w:szCs w:val="20"/>
              </w:rPr>
              <w:t xml:space="preserve">Jedes Modul endet mit einem Handlungsauftrag – einem konkreten Ich-Versprechen. Beispiele: »Wenn ich pauschalisiere, stelle ich mir diese Fragen: …« oder »Als Ally werde ich diese Woche konkret Folgendes tun: …« Diese Einträge landen im Tresor und sind jederzeit abrufbar.</w:t>
            </w:r>
          </w:p>
        </w:tc>
      </w:tr>
    </w:tbl>
    <w:p>
      <w:pPr>
        <w:spacing w:after="80" w:before="80"/>
      </w:pPr>
      <w:r>
        <w:t xml:space="preserve"/>
      </w:r>
    </w:p>
    <w:p>
      <w:pPr>
        <w:pStyle w:val="Heading2"/>
        <w:spacing w:after="80" w:before="280"/>
      </w:pPr>
      <w:r>
        <w:rPr>
          <w:rFonts w:ascii="Arial" w:cs="Arial" w:eastAsia="Arial" w:hAnsi="Arial"/>
          <w:b/>
          <w:bCs/>
          <w:color w:val="1B6B5A"/>
          <w:sz w:val="24"/>
          <w:szCs w:val="24"/>
        </w:rPr>
        <w:t xml:space="preserve">Tresor-Funktionen</w:t>
      </w:r>
    </w:p>
    <w:p>
      <w:pPr>
        <w:pStyle w:val="ListParagraph"/>
        <w:numPr>
          <w:ilvl w:val="0"/>
          <w:numId w:val="2"/>
        </w:numPr>
        <w:spacing w:after="40" w:before="40"/>
      </w:pPr>
      <w:r>
        <w:rPr>
          <w:rFonts w:ascii="Arial" w:cs="Arial" w:eastAsia="Arial" w:hAnsi="Arial"/>
          <w:b w:val="false"/>
          <w:bCs w:val="false"/>
          <w:color w:val="444444"/>
          <w:sz w:val="22"/>
          <w:szCs w:val="22"/>
        </w:rPr>
        <w:t xml:space="preserve">Alle Einträge mit Datum, Modulname und ursprünglichem Auftrag angezeigt</w:t>
      </w:r>
    </w:p>
    <w:p>
      <w:pPr>
        <w:pStyle w:val="ListParagraph"/>
        <w:numPr>
          <w:ilvl w:val="0"/>
          <w:numId w:val="2"/>
        </w:numPr>
        <w:spacing w:after="40" w:before="40"/>
      </w:pPr>
      <w:r>
        <w:rPr>
          <w:rFonts w:ascii="Arial" w:cs="Arial" w:eastAsia="Arial" w:hAnsi="Arial"/>
          <w:b w:val="false"/>
          <w:bCs w:val="false"/>
          <w:color w:val="444444"/>
          <w:sz w:val="22"/>
          <w:szCs w:val="22"/>
        </w:rPr>
        <w:t xml:space="preserve">Einträge können einzeln gelöscht werden</w:t>
      </w:r>
    </w:p>
    <w:p>
      <w:pPr>
        <w:pStyle w:val="ListParagraph"/>
        <w:numPr>
          <w:ilvl w:val="0"/>
          <w:numId w:val="2"/>
        </w:numPr>
        <w:spacing w:after="40" w:before="40"/>
      </w:pPr>
      <w:r>
        <w:rPr>
          <w:rFonts w:ascii="Arial" w:cs="Arial" w:eastAsia="Arial" w:hAnsi="Arial"/>
          <w:b w:val="false"/>
          <w:bCs w:val="false"/>
          <w:color w:val="444444"/>
          <w:sz w:val="22"/>
          <w:szCs w:val="22"/>
        </w:rPr>
        <w:t xml:space="preserve">Beim Abschluss jedes Moduls direkter Sprung in den Tresor</w:t>
      </w:r>
    </w:p>
    <w:p>
      <w:pPr>
        <w:pStyle w:val="ListParagraph"/>
        <w:numPr>
          <w:ilvl w:val="0"/>
          <w:numId w:val="2"/>
        </w:numPr>
        <w:spacing w:after="40" w:before="40"/>
      </w:pPr>
      <w:r>
        <w:rPr>
          <w:rFonts w:ascii="Arial" w:cs="Arial" w:eastAsia="Arial" w:hAnsi="Arial"/>
          <w:b w:val="false"/>
          <w:bCs w:val="false"/>
          <w:color w:val="444444"/>
          <w:sz w:val="22"/>
          <w:szCs w:val="22"/>
        </w:rPr>
        <w:t xml:space="preserve">Vollständig privat – kein Datenzugriff von außen möglich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0"/>
            </w:pPr>
            <w:r>
              <w:rPr>
                <w:rFonts w:ascii="Arial" w:cs="Arial" w:eastAsia="Arial" w:hAnsi="Arial"/>
                <w:b/>
                <w:bCs/>
                <w:color w:val="1A3D6B"/>
                <w:sz w:val="20"/>
                <w:szCs w:val="20"/>
              </w:rPr>
              <w:t xml:space="preserve">Datenschutzhinweis</w:t>
            </w:r>
          </w:p>
          <w:p>
            <w:pPr>
              <w:spacing w:after="0" w:before="0"/>
            </w:pPr>
            <w:r>
              <w:rPr>
                <w:rFonts w:ascii="Arial" w:cs="Arial" w:eastAsia="Arial" w:hAnsi="Arial"/>
                <w:color w:val="444444"/>
                <w:sz w:val="20"/>
                <w:szCs w:val="20"/>
              </w:rPr>
              <w:t xml:space="preserve">Der Tresor speichert ausschließlich im Arbeitsspeicher des Browserfensters (JavaScript-Variable). Beim Schließen des Tabs ist alles gelöscht. Es gibt keine localStorage-, Cookie- oder Netzwerkspeicherung. Die App ist vollständig offline-fähig.</w:t>
            </w:r>
          </w:p>
        </w:tc>
      </w:tr>
    </w:tbl>
    <w:p>
      <w:pPr>
        <w:spacing w:after="80" w:before="80"/>
      </w:pPr>
      <w:r>
        <w:t xml:space="preserve"/>
      </w:r>
    </w:p>
    <w:p>
      <w:pPr>
        <w:pStyle w:val="Heading1"/>
        <w:pBdr>
          <w:bottom w:val="single" w:color="1A3D6B" w:sz="6" w:space="4"/>
        </w:pBdr>
        <w:spacing w:after="120" w:before="360"/>
      </w:pPr>
      <w:r>
        <w:rPr>
          <w:rFonts w:ascii="Arial" w:cs="Arial" w:eastAsia="Arial" w:hAnsi="Arial"/>
          <w:b/>
          <w:bCs/>
          <w:color w:val="1A3D6B"/>
          <w:sz w:val="28"/>
          <w:szCs w:val="28"/>
        </w:rPr>
        <w:t xml:space="preserve">4. Technische Details</w:t>
      </w:r>
    </w:p>
    <w:p>
      <w:pPr>
        <w:pStyle w:val="Heading2"/>
        <w:spacing w:after="80" w:before="280"/>
      </w:pPr>
      <w:r>
        <w:rPr>
          <w:rFonts w:ascii="Arial" w:cs="Arial" w:eastAsia="Arial" w:hAnsi="Arial"/>
          <w:b/>
          <w:bCs/>
          <w:color w:val="1B6B5A"/>
          <w:sz w:val="24"/>
          <w:szCs w:val="24"/>
        </w:rPr>
        <w:t xml:space="preserve">Systemvoraussetzungen</w:t>
      </w:r>
    </w:p>
    <w:p>
      <w:pPr>
        <w:pStyle w:val="ListParagraph"/>
        <w:numPr>
          <w:ilvl w:val="0"/>
          <w:numId w:val="2"/>
        </w:numPr>
        <w:spacing w:after="40" w:before="40"/>
      </w:pPr>
      <w:r>
        <w:rPr>
          <w:rFonts w:ascii="Arial" w:cs="Arial" w:eastAsia="Arial" w:hAnsi="Arial"/>
          <w:b w:val="false"/>
          <w:bCs w:val="false"/>
          <w:color w:val="444444"/>
          <w:sz w:val="22"/>
          <w:szCs w:val="22"/>
        </w:rPr>
        <w:t xml:space="preserve">Moderner Browser (Chrome, Firefox, Safari, Edge) – keine Installation</w:t>
      </w:r>
    </w:p>
    <w:p>
      <w:pPr>
        <w:pStyle w:val="ListParagraph"/>
        <w:numPr>
          <w:ilvl w:val="0"/>
          <w:numId w:val="2"/>
        </w:numPr>
        <w:spacing w:after="40" w:before="40"/>
      </w:pPr>
      <w:r>
        <w:rPr>
          <w:rFonts w:ascii="Arial" w:cs="Arial" w:eastAsia="Arial" w:hAnsi="Arial"/>
          <w:b w:val="false"/>
          <w:bCs w:val="false"/>
          <w:color w:val="444444"/>
          <w:sz w:val="22"/>
          <w:szCs w:val="22"/>
        </w:rPr>
        <w:t xml:space="preserve">Internet nur beim ersten Öffnen erforderlich (für Google Fonts Inter)</w:t>
      </w:r>
    </w:p>
    <w:p>
      <w:pPr>
        <w:pStyle w:val="ListParagraph"/>
        <w:numPr>
          <w:ilvl w:val="0"/>
          <w:numId w:val="2"/>
        </w:numPr>
        <w:spacing w:after="40" w:before="40"/>
      </w:pPr>
      <w:r>
        <w:rPr>
          <w:rFonts w:ascii="Arial" w:cs="Arial" w:eastAsia="Arial" w:hAnsi="Arial"/>
          <w:b w:val="false"/>
          <w:bCs w:val="false"/>
          <w:color w:val="444444"/>
          <w:sz w:val="22"/>
          <w:szCs w:val="22"/>
        </w:rPr>
        <w:t xml:space="preserve">Funktioniert auf Desktop, Tablet und Smartphone</w:t>
      </w:r>
    </w:p>
    <w:p>
      <w:pPr>
        <w:pStyle w:val="ListParagraph"/>
        <w:numPr>
          <w:ilvl w:val="0"/>
          <w:numId w:val="2"/>
        </w:numPr>
        <w:spacing w:after="40" w:before="40"/>
      </w:pPr>
      <w:r>
        <w:rPr>
          <w:rFonts w:ascii="Arial" w:cs="Arial" w:eastAsia="Arial" w:hAnsi="Arial"/>
          <w:b w:val="false"/>
          <w:bCs w:val="false"/>
          <w:color w:val="444444"/>
          <w:sz w:val="22"/>
          <w:szCs w:val="22"/>
        </w:rPr>
        <w:t xml:space="preserve">Empfohlene Mindest-Bildschirmbreite: 360 px</w:t>
      </w:r>
    </w:p>
    <w:p>
      <w:pPr>
        <w:spacing w:after="80" w:before="80"/>
      </w:pPr>
      <w:r>
        <w:t xml:space="preserve"/>
      </w:r>
    </w:p>
    <w:p>
      <w:pPr>
        <w:pStyle w:val="Heading2"/>
        <w:spacing w:after="80" w:before="280"/>
      </w:pPr>
      <w:r>
        <w:rPr>
          <w:rFonts w:ascii="Arial" w:cs="Arial" w:eastAsia="Arial" w:hAnsi="Arial"/>
          <w:b/>
          <w:bCs/>
          <w:color w:val="1B6B5A"/>
          <w:sz w:val="24"/>
          <w:szCs w:val="24"/>
        </w:rPr>
        <w:t xml:space="preserve">Dateibeschreibung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180"/>
              <w:bottom w:type="dxa" w:w="120"/>
              <w:right w:type="dxa" w:w="180"/>
            </w:tcMar>
          </w:tcPr>
          <w:p>
            <w:pPr>
              <w:spacing w:after="60" w:before="0"/>
            </w:pPr>
            <w:r>
              <w:rPr>
                <w:rFonts w:ascii="Arial" w:cs="Arial" w:eastAsia="Arial" w:hAnsi="Arial"/>
                <w:b/>
                <w:bCs/>
                <w:color w:val="1A3D6B"/>
                <w:sz w:val="20"/>
                <w:szCs w:val="20"/>
              </w:rPr>
              <w:t xml:space="preserve">antirassismus-lernapp-v4.html</w:t>
            </w:r>
          </w:p>
          <w:p>
            <w:pPr>
              <w:spacing w:after="0" w:before="0"/>
            </w:pPr>
            <w:r>
              <w:rPr>
                <w:rFonts w:ascii="Arial" w:cs="Arial" w:eastAsia="Arial" w:hAnsi="Arial"/>
                <w:color w:val="444444"/>
                <w:sz w:val="20"/>
                <w:szCs w:val="20"/>
              </w:rPr>
              <w:t xml:space="preserve">Einzelne HTML-Datei (~1,5 MB). Enthält alle 30 Module, CSS, JavaScript und Spiellogik in einer Datei. Kann auf einem Schulserver, USB-Stick oder direkt im Browser geöffnet werden.</w:t>
            </w:r>
          </w:p>
        </w:tc>
      </w:tr>
    </w:tbl>
    <w:p>
      <w:pPr>
        <w:spacing w:after="80" w:before="80"/>
      </w:pPr>
      <w:r>
        <w:t xml:space="preserve"/>
      </w:r>
    </w:p>
    <w:p>
      <w:pPr>
        <w:pStyle w:val="Heading2"/>
        <w:spacing w:after="80" w:before="280"/>
      </w:pPr>
      <w:r>
        <w:rPr>
          <w:rFonts w:ascii="Arial" w:cs="Arial" w:eastAsia="Arial" w:hAnsi="Arial"/>
          <w:b/>
          <w:bCs/>
          <w:color w:val="1B6B5A"/>
          <w:sz w:val="24"/>
          <w:szCs w:val="24"/>
        </w:rPr>
        <w:t xml:space="preserve">Design</w:t>
      </w:r>
    </w:p>
    <w:p>
      <w:pPr>
        <w:pStyle w:val="ListParagraph"/>
        <w:numPr>
          <w:ilvl w:val="0"/>
          <w:numId w:val="2"/>
        </w:numPr>
        <w:spacing w:after="40" w:before="40"/>
      </w:pPr>
      <w:r>
        <w:rPr>
          <w:rFonts w:ascii="Arial" w:cs="Arial" w:eastAsia="Arial" w:hAnsi="Arial"/>
          <w:b w:val="false"/>
          <w:bCs w:val="false"/>
          <w:color w:val="444444"/>
          <w:sz w:val="22"/>
          <w:szCs w:val="22"/>
        </w:rPr>
        <w:t xml:space="preserve">Schrift: Inter (Google Fonts) mit System-Fallback</w:t>
      </w:r>
    </w:p>
    <w:p>
      <w:pPr>
        <w:pStyle w:val="ListParagraph"/>
        <w:numPr>
          <w:ilvl w:val="0"/>
          <w:numId w:val="2"/>
        </w:numPr>
        <w:spacing w:after="40" w:before="40"/>
      </w:pPr>
      <w:r>
        <w:rPr>
          <w:rFonts w:ascii="Arial" w:cs="Arial" w:eastAsia="Arial" w:hAnsi="Arial"/>
          <w:b w:val="false"/>
          <w:bCs w:val="false"/>
          <w:color w:val="444444"/>
          <w:sz w:val="22"/>
          <w:szCs w:val="22"/>
        </w:rPr>
        <w:t xml:space="preserve">Hintergrund: Dunkelblau (Erdatmosphäre) mit Erdkugel-Orb und Sternenhimmel</w:t>
      </w:r>
    </w:p>
    <w:p>
      <w:pPr>
        <w:pStyle w:val="ListParagraph"/>
        <w:numPr>
          <w:ilvl w:val="0"/>
          <w:numId w:val="2"/>
        </w:numPr>
        <w:spacing w:after="40" w:before="40"/>
      </w:pPr>
      <w:r>
        <w:rPr>
          <w:rFonts w:ascii="Arial" w:cs="Arial" w:eastAsia="Arial" w:hAnsi="Arial"/>
          <w:b w:val="false"/>
          <w:bCs w:val="false"/>
          <w:color w:val="444444"/>
          <w:sz w:val="22"/>
          <w:szCs w:val="22"/>
        </w:rPr>
        <w:t xml:space="preserve">Akzentfarben: Regenbogenfarben als Symbol für Diversität (Titelleiste, Buttons, Abzeichen)</w:t>
      </w:r>
    </w:p>
    <w:p>
      <w:pPr>
        <w:pStyle w:val="ListParagraph"/>
        <w:numPr>
          <w:ilvl w:val="0"/>
          <w:numId w:val="2"/>
        </w:numPr>
        <w:spacing w:after="40" w:before="40"/>
      </w:pPr>
      <w:r>
        <w:rPr>
          <w:rFonts w:ascii="Arial" w:cs="Arial" w:eastAsia="Arial" w:hAnsi="Arial"/>
          <w:b w:val="false"/>
          <w:bCs w:val="false"/>
          <w:color w:val="444444"/>
          <w:sz w:val="22"/>
          <w:szCs w:val="22"/>
        </w:rPr>
        <w:t xml:space="preserve">Kontrastoptimiert für Lesbarkeit auf dunklem Grund</w:t>
      </w:r>
    </w:p>
    <w:p>
      <w:pPr>
        <w:pStyle w:val="ListParagraph"/>
        <w:numPr>
          <w:ilvl w:val="0"/>
          <w:numId w:val="2"/>
        </w:numPr>
        <w:spacing w:after="40" w:before="40"/>
      </w:pPr>
      <w:r>
        <w:rPr>
          <w:rFonts w:ascii="Arial" w:cs="Arial" w:eastAsia="Arial" w:hAnsi="Arial"/>
          <w:b w:val="false"/>
          <w:bCs w:val="false"/>
          <w:color w:val="444444"/>
          <w:sz w:val="22"/>
          <w:szCs w:val="22"/>
        </w:rPr>
        <w:t xml:space="preserve">OLED-freundlich: Schwarze Hintergrundflächen sparen Akku</w:t>
      </w:r>
    </w:p>
    <w:p>
      <w:pPr>
        <w:spacing w:after="80" w:before="80"/>
      </w:pPr>
      <w:r>
        <w:t xml:space="preserve"/>
      </w:r>
    </w:p>
    <w:p>
      <w:pPr>
        <w:pStyle w:val="Heading2"/>
        <w:spacing w:after="80" w:before="280"/>
      </w:pPr>
      <w:r>
        <w:rPr>
          <w:rFonts w:ascii="Arial" w:cs="Arial" w:eastAsia="Arial" w:hAnsi="Arial"/>
          <w:b/>
          <w:bCs/>
          <w:color w:val="1B6B5A"/>
          <w:sz w:val="24"/>
          <w:szCs w:val="24"/>
        </w:rPr>
        <w:t xml:space="preserve">Gamification</w:t>
      </w:r>
    </w:p>
    <w:p>
      <w:pPr>
        <w:pStyle w:val="ListParagraph"/>
        <w:numPr>
          <w:ilvl w:val="0"/>
          <w:numId w:val="2"/>
        </w:numPr>
        <w:spacing w:after="40" w:before="40"/>
      </w:pPr>
      <w:r>
        <w:rPr>
          <w:rFonts w:ascii="Arial" w:cs="Arial" w:eastAsia="Arial" w:hAnsi="Arial"/>
          <w:b w:val="false"/>
          <w:bCs w:val="false"/>
          <w:color w:val="444444"/>
          <w:sz w:val="22"/>
          <w:szCs w:val="22"/>
        </w:rPr>
        <w:t xml:space="preserve">Punktesystem: 10 Punkte pro richtig beantworteter Aufgabe</w:t>
      </w:r>
    </w:p>
    <w:p>
      <w:pPr>
        <w:pStyle w:val="ListParagraph"/>
        <w:numPr>
          <w:ilvl w:val="0"/>
          <w:numId w:val="2"/>
        </w:numPr>
        <w:spacing w:after="40" w:before="40"/>
      </w:pPr>
      <w:r>
        <w:rPr>
          <w:rFonts w:ascii="Arial" w:cs="Arial" w:eastAsia="Arial" w:hAnsi="Arial"/>
          <w:b w:val="false"/>
          <w:bCs w:val="false"/>
          <w:color w:val="444444"/>
          <w:sz w:val="22"/>
          <w:szCs w:val="22"/>
        </w:rPr>
        <w:t xml:space="preserve">Abzeichen: pro Themenbereich eines, plus »Vollständig«-Abzeichen</w:t>
      </w:r>
    </w:p>
    <w:p>
      <w:pPr>
        <w:pStyle w:val="ListParagraph"/>
        <w:numPr>
          <w:ilvl w:val="0"/>
          <w:numId w:val="2"/>
        </w:numPr>
        <w:spacing w:after="40" w:before="40"/>
      </w:pPr>
      <w:r>
        <w:rPr>
          <w:rFonts w:ascii="Arial" w:cs="Arial" w:eastAsia="Arial" w:hAnsi="Arial"/>
          <w:b w:val="false"/>
          <w:bCs w:val="false"/>
          <w:color w:val="444444"/>
          <w:sz w:val="22"/>
          <w:szCs w:val="22"/>
        </w:rPr>
        <w:t xml:space="preserve">Fortschrittsbalken: zeigt Verlauf innerhalb eines Moduls</w:t>
      </w:r>
    </w:p>
    <w:p>
      <w:pPr>
        <w:pStyle w:val="ListParagraph"/>
        <w:numPr>
          <w:ilvl w:val="0"/>
          <w:numId w:val="2"/>
        </w:numPr>
        <w:spacing w:after="40" w:before="40"/>
      </w:pPr>
      <w:r>
        <w:rPr>
          <w:rFonts w:ascii="Arial" w:cs="Arial" w:eastAsia="Arial" w:hAnsi="Arial"/>
          <w:b w:val="false"/>
          <w:bCs w:val="false"/>
          <w:color w:val="444444"/>
          <w:sz w:val="22"/>
          <w:szCs w:val="22"/>
        </w:rPr>
        <w:t xml:space="preserve">Modulkarten: nach Abschluss visuell als »Fertig« markiert</w:t>
      </w:r>
    </w:p>
    <w:p>
      <w:pPr>
        <w:spacing w:after="80" w:before="80"/>
      </w:pPr>
      <w:r>
        <w:t xml:space="preserve"/>
      </w:r>
    </w:p>
    <w:p>
      <w:pPr>
        <w:pStyle w:val="Heading1"/>
        <w:pBdr>
          <w:bottom w:val="single" w:color="1A3D6B" w:sz="6" w:space="4"/>
        </w:pBdr>
        <w:spacing w:after="120" w:before="360"/>
      </w:pPr>
      <w:r>
        <w:rPr>
          <w:rFonts w:ascii="Arial" w:cs="Arial" w:eastAsia="Arial" w:hAnsi="Arial"/>
          <w:b/>
          <w:bCs/>
          <w:color w:val="1A3D6B"/>
          <w:sz w:val="28"/>
          <w:szCs w:val="28"/>
        </w:rPr>
        <w:t xml:space="preserve">5. Einsatz im Unterricht</w:t>
      </w:r>
    </w:p>
    <w:p>
      <w:pPr>
        <w:pStyle w:val="Heading2"/>
        <w:spacing w:after="80" w:before="280"/>
      </w:pPr>
      <w:r>
        <w:rPr>
          <w:rFonts w:ascii="Arial" w:cs="Arial" w:eastAsia="Arial" w:hAnsi="Arial"/>
          <w:b/>
          <w:bCs/>
          <w:color w:val="1B6B5A"/>
          <w:sz w:val="24"/>
          <w:szCs w:val="24"/>
        </w:rPr>
        <w:t xml:space="preserve">Empfohlene Einsatzszenarien</w:t>
      </w:r>
    </w:p>
    <w:p>
      <w:pPr>
        <w:pStyle w:val="ListParagraph"/>
        <w:numPr>
          <w:ilvl w:val="0"/>
          <w:numId w:val="2"/>
        </w:numPr>
        <w:spacing w:after="40" w:before="40"/>
      </w:pPr>
      <w:r>
        <w:rPr>
          <w:rFonts w:ascii="Arial" w:cs="Arial" w:eastAsia="Arial" w:hAnsi="Arial"/>
          <w:b w:val="false"/>
          <w:bCs w:val="false"/>
          <w:color w:val="444444"/>
          <w:sz w:val="22"/>
          <w:szCs w:val="22"/>
        </w:rPr>
        <w:t xml:space="preserve">Einzelarbeit (Hausaufgabe, Freiarbeit): Schüler*innen wählen selbst Module und arbeiten im eigenen Tempo.</w:t>
      </w:r>
    </w:p>
    <w:p>
      <w:pPr>
        <w:pStyle w:val="ListParagraph"/>
        <w:numPr>
          <w:ilvl w:val="0"/>
          <w:numId w:val="2"/>
        </w:numPr>
        <w:spacing w:after="40" w:before="40"/>
      </w:pPr>
      <w:r>
        <w:rPr>
          <w:rFonts w:ascii="Arial" w:cs="Arial" w:eastAsia="Arial" w:hAnsi="Arial"/>
          <w:b w:val="false"/>
          <w:bCs w:val="false"/>
          <w:color w:val="444444"/>
          <w:sz w:val="22"/>
          <w:szCs w:val="22"/>
        </w:rPr>
        <w:t xml:space="preserve">Unterrichtsbegleitung: Lehrkraft öffnet spezifische Module als Einstieg oder Vertiefung zu einem Thema.</w:t>
      </w:r>
    </w:p>
    <w:p>
      <w:pPr>
        <w:pStyle w:val="ListParagraph"/>
        <w:numPr>
          <w:ilvl w:val="0"/>
          <w:numId w:val="2"/>
        </w:numPr>
        <w:spacing w:after="40" w:before="40"/>
      </w:pPr>
      <w:r>
        <w:rPr>
          <w:rFonts w:ascii="Arial" w:cs="Arial" w:eastAsia="Arial" w:hAnsi="Arial"/>
          <w:b w:val="false"/>
          <w:bCs w:val="false"/>
          <w:color w:val="444444"/>
          <w:sz w:val="22"/>
          <w:szCs w:val="22"/>
        </w:rPr>
        <w:t xml:space="preserve">Projektwochen: Themenblöcke als mehrstündige Einheit (z.B. alle 10 Erkennen-Module an einem Tag).</w:t>
      </w:r>
    </w:p>
    <w:p>
      <w:pPr>
        <w:pStyle w:val="ListParagraph"/>
        <w:numPr>
          <w:ilvl w:val="0"/>
          <w:numId w:val="2"/>
        </w:numPr>
        <w:spacing w:after="40" w:before="40"/>
      </w:pPr>
      <w:r>
        <w:rPr>
          <w:rFonts w:ascii="Arial" w:cs="Arial" w:eastAsia="Arial" w:hAnsi="Arial"/>
          <w:b w:val="false"/>
          <w:bCs w:val="false"/>
          <w:color w:val="444444"/>
          <w:sz w:val="22"/>
          <w:szCs w:val="22"/>
        </w:rPr>
        <w:t xml:space="preserve">SV-Arbeit: Module zu »Schule ohne Rassismus« als Grundlage für Schulinitiativen.</w:t>
      </w:r>
    </w:p>
    <w:p>
      <w:pPr>
        <w:spacing w:after="80" w:before="80"/>
      </w:pPr>
      <w:r>
        <w:t xml:space="preserve"/>
      </w:r>
    </w:p>
    <w:p>
      <w:pPr>
        <w:pStyle w:val="Heading2"/>
        <w:spacing w:after="80" w:before="280"/>
      </w:pPr>
      <w:r>
        <w:rPr>
          <w:rFonts w:ascii="Arial" w:cs="Arial" w:eastAsia="Arial" w:hAnsi="Arial"/>
          <w:b/>
          <w:bCs/>
          <w:color w:val="1B6B5A"/>
          <w:sz w:val="24"/>
          <w:szCs w:val="24"/>
        </w:rPr>
        <w:t xml:space="preserve">Zeitbedarf</w:t>
      </w:r>
    </w:p>
    <w:p>
      <w:pPr>
        <w:pStyle w:val="ListParagraph"/>
        <w:numPr>
          <w:ilvl w:val="0"/>
          <w:numId w:val="2"/>
        </w:numPr>
        <w:spacing w:after="40" w:before="40"/>
      </w:pPr>
      <w:r>
        <w:rPr>
          <w:rFonts w:ascii="Arial" w:cs="Arial" w:eastAsia="Arial" w:hAnsi="Arial"/>
          <w:b w:val="false"/>
          <w:bCs w:val="false"/>
          <w:color w:val="444444"/>
          <w:sz w:val="22"/>
          <w:szCs w:val="22"/>
        </w:rPr>
        <w:t xml:space="preserve">Pro Modul: ca. 8–12 Minuten</w:t>
      </w:r>
    </w:p>
    <w:p>
      <w:pPr>
        <w:pStyle w:val="ListParagraph"/>
        <w:numPr>
          <w:ilvl w:val="0"/>
          <w:numId w:val="2"/>
        </w:numPr>
        <w:spacing w:after="40" w:before="40"/>
      </w:pPr>
      <w:r>
        <w:rPr>
          <w:rFonts w:ascii="Arial" w:cs="Arial" w:eastAsia="Arial" w:hAnsi="Arial"/>
          <w:b w:val="false"/>
          <w:bCs w:val="false"/>
          <w:color w:val="444444"/>
          <w:sz w:val="22"/>
          <w:szCs w:val="22"/>
        </w:rPr>
        <w:t xml:space="preserve">Pro Themenbereich (10 Module): ca. 90–120 Minuten</w:t>
      </w:r>
    </w:p>
    <w:p>
      <w:pPr>
        <w:pStyle w:val="ListParagraph"/>
        <w:numPr>
          <w:ilvl w:val="0"/>
          <w:numId w:val="2"/>
        </w:numPr>
        <w:spacing w:after="40" w:before="40"/>
      </w:pPr>
      <w:r>
        <w:rPr>
          <w:rFonts w:ascii="Arial" w:cs="Arial" w:eastAsia="Arial" w:hAnsi="Arial"/>
          <w:b w:val="false"/>
          <w:bCs w:val="false"/>
          <w:color w:val="444444"/>
          <w:sz w:val="22"/>
          <w:szCs w:val="22"/>
        </w:rPr>
        <w:t xml:space="preserve">Vollständiger Lernpfad (30 Module): ca. 5–6 Stunden</w:t>
      </w:r>
    </w:p>
    <w:p>
      <w:pPr>
        <w:spacing w:after="80" w:before="80"/>
      </w:pPr>
      <w:r>
        <w:t xml:space="preserve"/>
      </w:r>
    </w:p>
    <w:p>
      <w:pPr>
        <w:pStyle w:val="Heading2"/>
        <w:spacing w:after="80" w:before="280"/>
      </w:pPr>
      <w:r>
        <w:rPr>
          <w:rFonts w:ascii="Arial" w:cs="Arial" w:eastAsia="Arial" w:hAnsi="Arial"/>
          <w:b/>
          <w:bCs/>
          <w:color w:val="1B6B5A"/>
          <w:sz w:val="24"/>
          <w:szCs w:val="24"/>
        </w:rPr>
        <w:t xml:space="preserve">Pädagogische Hinweise</w:t>
      </w:r>
    </w:p>
    <w:p>
      <w:pPr>
        <w:pStyle w:val="ListParagraph"/>
        <w:numPr>
          <w:ilvl w:val="0"/>
          <w:numId w:val="2"/>
        </w:numPr>
        <w:spacing w:after="40" w:before="40"/>
      </w:pPr>
      <w:r>
        <w:rPr>
          <w:rFonts w:ascii="Arial" w:cs="Arial" w:eastAsia="Arial" w:hAnsi="Arial"/>
          <w:b w:val="false"/>
          <w:bCs w:val="false"/>
          <w:color w:val="444444"/>
          <w:sz w:val="22"/>
          <w:szCs w:val="22"/>
        </w:rPr>
        <w:t xml:space="preserve">Keine Lehrkraftpräsenz erforderlich: Die App ist selbsterklärend und autonom nutzbar.</w:t>
      </w:r>
    </w:p>
    <w:p>
      <w:pPr>
        <w:pStyle w:val="ListParagraph"/>
        <w:numPr>
          <w:ilvl w:val="0"/>
          <w:numId w:val="2"/>
        </w:numPr>
        <w:spacing w:after="40" w:before="40"/>
      </w:pPr>
      <w:r>
        <w:rPr>
          <w:rFonts w:ascii="Arial" w:cs="Arial" w:eastAsia="Arial" w:hAnsi="Arial"/>
          <w:b w:val="false"/>
          <w:bCs w:val="false"/>
          <w:color w:val="444444"/>
          <w:sz w:val="22"/>
          <w:szCs w:val="22"/>
        </w:rPr>
        <w:t xml:space="preserve">Kein Leistungsdruck: Punkte sind motivational, nicht benotbar. Die Anzahl der Versuche ist nicht sichtbar.</w:t>
      </w:r>
    </w:p>
    <w:p>
      <w:pPr>
        <w:pStyle w:val="ListParagraph"/>
        <w:numPr>
          <w:ilvl w:val="0"/>
          <w:numId w:val="2"/>
        </w:numPr>
        <w:spacing w:after="40" w:before="40"/>
      </w:pPr>
      <w:r>
        <w:rPr>
          <w:rFonts w:ascii="Arial" w:cs="Arial" w:eastAsia="Arial" w:hAnsi="Arial"/>
          <w:b w:val="false"/>
          <w:bCs w:val="false"/>
          <w:color w:val="444444"/>
          <w:sz w:val="22"/>
          <w:szCs w:val="22"/>
        </w:rPr>
        <w:t xml:space="preserve">Reflexionen sind vertraulich: Handlungsaufträge bleiben auf dem Gerät der Schüler*in – keine Lehrkraft sieht sie.</w:t>
      </w:r>
    </w:p>
    <w:p>
      <w:pPr>
        <w:pStyle w:val="ListParagraph"/>
        <w:numPr>
          <w:ilvl w:val="0"/>
          <w:numId w:val="2"/>
        </w:numPr>
        <w:spacing w:after="40" w:before="40"/>
      </w:pPr>
      <w:r>
        <w:rPr>
          <w:rFonts w:ascii="Arial" w:cs="Arial" w:eastAsia="Arial" w:hAnsi="Arial"/>
          <w:b w:val="false"/>
          <w:bCs w:val="false"/>
          <w:color w:val="444444"/>
          <w:sz w:val="22"/>
          <w:szCs w:val="22"/>
        </w:rPr>
        <w:t xml:space="preserve">Anschlusskommunikation empfohlen: Nach dem Tresor-Eintrag können Klassen-Gespräche geführt werden (freiwillig und ohne Einsicht in Einzeleinträge).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8D8" w:val="clear"/>
            <w:tcMar>
              <w:top w:type="dxa" w:w="120"/>
              <w:left w:type="dxa" w:w="180"/>
              <w:bottom w:type="dxa" w:w="120"/>
              <w:right w:type="dxa" w:w="180"/>
            </w:tcMar>
          </w:tcPr>
          <w:p>
            <w:pPr>
              <w:spacing w:after="60" w:before="0"/>
            </w:pPr>
            <w:r>
              <w:rPr>
                <w:rFonts w:ascii="Arial" w:cs="Arial" w:eastAsia="Arial" w:hAnsi="Arial"/>
                <w:b/>
                <w:bCs/>
                <w:color w:val="1A3D6B"/>
                <w:sz w:val="20"/>
                <w:szCs w:val="20"/>
              </w:rPr>
              <w:t xml:space="preserve">Hinweis zur Sensibilität</w:t>
            </w:r>
          </w:p>
          <w:p>
            <w:pPr>
              <w:spacing w:after="0" w:before="0"/>
            </w:pPr>
            <w:r>
              <w:rPr>
                <w:rFonts w:ascii="Arial" w:cs="Arial" w:eastAsia="Arial" w:hAnsi="Arial"/>
                <w:color w:val="444444"/>
                <w:sz w:val="20"/>
                <w:szCs w:val="20"/>
              </w:rPr>
              <w:t xml:space="preserve">Die App wurde so konzipiert, dass keine rassistischen Inhalte reproduziert oder gelesen werden müssen. Alle Beispiele in Quizfragen beschreiben Mechanismen, ohne verletzende Begriffe zu verwenden. Reflexionsaufgaben sind ausschließlich nach innen gerichtet.</w:t>
            </w:r>
          </w:p>
        </w:tc>
      </w:tr>
    </w:tbl>
    <w:p>
      <w:pPr>
        <w:spacing w:after="80" w:before="80"/>
      </w:pPr>
      <w:r>
        <w:t xml:space="preserve"/>
      </w:r>
    </w:p>
    <w:p>
      <w:pPr>
        <w:pStyle w:val="Heading1"/>
        <w:pBdr>
          <w:bottom w:val="single" w:color="1A3D6B" w:sz="6" w:space="4"/>
        </w:pBdr>
        <w:spacing w:after="120" w:before="360"/>
      </w:pPr>
      <w:r>
        <w:rPr>
          <w:rFonts w:ascii="Arial" w:cs="Arial" w:eastAsia="Arial" w:hAnsi="Arial"/>
          <w:b/>
          <w:bCs/>
          <w:color w:val="1A3D6B"/>
          <w:sz w:val="28"/>
          <w:szCs w:val="28"/>
        </w:rPr>
        <w:t xml:space="preserve">6. Quellen &amp; Grundlage</w:t>
      </w:r>
    </w:p>
    <w:p>
      <w:pPr>
        <w:spacing w:after="80" w:before="60"/>
      </w:pPr>
      <w:r>
        <w:rPr>
          <w:rFonts w:ascii="Arial" w:cs="Arial" w:eastAsia="Arial" w:hAnsi="Arial"/>
          <w:color w:val="444444"/>
          <w:sz w:val="22"/>
          <w:szCs w:val="22"/>
        </w:rPr>
        <w:t xml:space="preserve">Die Inhalte der App basieren auf folgenden Materialien:</w:t>
      </w:r>
    </w:p>
    <w:p>
      <w:pPr>
        <w:spacing w:after="80" w:before="80"/>
      </w:pPr>
      <w:r>
        <w:t xml:space="preserve"/>
      </w:r>
    </w:p>
    <w:p>
      <w:pPr>
        <w:pStyle w:val="ListParagraph"/>
        <w:numPr>
          <w:ilvl w:val="0"/>
          <w:numId w:val="2"/>
        </w:numPr>
        <w:spacing w:after="40" w:before="40"/>
      </w:pPr>
      <w:r>
        <w:rPr>
          <w:rFonts w:ascii="Arial" w:cs="Arial" w:eastAsia="Arial" w:hAnsi="Arial"/>
          <w:b w:val="false"/>
          <w:bCs w:val="false"/>
          <w:color w:val="444444"/>
          <w:sz w:val="22"/>
          <w:szCs w:val="22"/>
        </w:rPr>
        <w:t xml:space="preserve">Gugel, Günther: Alltäglicher Rassismus. Themenblätter im Unterricht Nr. 110. Bundeszentrale für politische Bildung (bpb), 2. Auflage 2017.</w:t>
      </w:r>
    </w:p>
    <w:p>
      <w:pPr>
        <w:pStyle w:val="ListParagraph"/>
        <w:numPr>
          <w:ilvl w:val="0"/>
          <w:numId w:val="3"/>
        </w:numPr>
        <w:spacing w:after="30" w:before="30"/>
      </w:pPr>
      <w:r>
        <w:rPr>
          <w:rFonts w:ascii="Arial" w:cs="Arial" w:eastAsia="Arial" w:hAnsi="Arial"/>
          <w:color w:val="666666"/>
          <w:sz w:val="20"/>
          <w:szCs w:val="20"/>
        </w:rPr>
        <w:t xml:space="preserve">Einschließlich Lehrerblätter 01–06 sowie Kopiervorlagen und Arbeitsblätter A und B</w:t>
      </w:r>
    </w:p>
    <w:p>
      <w:pPr>
        <w:pStyle w:val="ListParagraph"/>
        <w:numPr>
          <w:ilvl w:val="0"/>
          <w:numId w:val="2"/>
        </w:numPr>
        <w:spacing w:after="40" w:before="40"/>
      </w:pPr>
      <w:r>
        <w:rPr>
          <w:rFonts w:ascii="Arial" w:cs="Arial" w:eastAsia="Arial" w:hAnsi="Arial"/>
          <w:b w:val="false"/>
          <w:bCs w:val="false"/>
          <w:color w:val="444444"/>
          <w:sz w:val="22"/>
          <w:szCs w:val="22"/>
        </w:rPr>
        <w:t xml:space="preserve">Ally sein – Broschüre zur antirassistischen Bildungsarbeit. Königin-Luise-Schule Köln.</w:t>
      </w:r>
    </w:p>
    <w:p>
      <w:pPr>
        <w:pStyle w:val="ListParagraph"/>
        <w:numPr>
          <w:ilvl w:val="0"/>
          <w:numId w:val="2"/>
        </w:numPr>
        <w:spacing w:after="40" w:before="40"/>
      </w:pPr>
      <w:r>
        <w:rPr>
          <w:rFonts w:ascii="Arial" w:cs="Arial" w:eastAsia="Arial" w:hAnsi="Arial"/>
          <w:b w:val="false"/>
          <w:bCs w:val="false"/>
          <w:color w:val="444444"/>
          <w:sz w:val="22"/>
          <w:szCs w:val="22"/>
        </w:rPr>
        <w:t xml:space="preserve">Einleitung Arbeitsheft gegen Rassismus. Königin-Luise-Schule Köln.</w:t>
      </w:r>
    </w:p>
    <w:p>
      <w:pPr>
        <w:spacing w:after="80" w:before="80"/>
      </w:pPr>
      <w:r>
        <w:t xml:space="preserve"/>
      </w:r>
    </w:p>
    <w:p>
      <w:pPr>
        <w:spacing w:after="80" w:before="60"/>
      </w:pPr>
      <w:r>
        <w:rPr>
          <w:rFonts w:ascii="Arial" w:cs="Arial" w:eastAsia="Arial" w:hAnsi="Arial"/>
          <w:color w:val="444444"/>
          <w:sz w:val="22"/>
          <w:szCs w:val="22"/>
        </w:rPr>
        <w:t xml:space="preserve">Zitierte Personen und Werke in den Modulen:</w:t>
      </w:r>
    </w:p>
    <w:p>
      <w:pPr>
        <w:pStyle w:val="ListParagraph"/>
        <w:numPr>
          <w:ilvl w:val="0"/>
          <w:numId w:val="3"/>
        </w:numPr>
        <w:spacing w:after="30" w:before="30"/>
      </w:pPr>
      <w:r>
        <w:rPr>
          <w:rFonts w:ascii="Arial" w:cs="Arial" w:eastAsia="Arial" w:hAnsi="Arial"/>
          <w:color w:val="666666"/>
          <w:sz w:val="20"/>
          <w:szCs w:val="20"/>
        </w:rPr>
        <w:t xml:space="preserve">Hannah Arendt: Elemente und Ursprünge totaler Herrschaft</w:t>
      </w:r>
    </w:p>
    <w:p>
      <w:pPr>
        <w:pStyle w:val="ListParagraph"/>
        <w:numPr>
          <w:ilvl w:val="0"/>
          <w:numId w:val="3"/>
        </w:numPr>
        <w:spacing w:after="30" w:before="30"/>
      </w:pPr>
      <w:r>
        <w:rPr>
          <w:rFonts w:ascii="Arial" w:cs="Arial" w:eastAsia="Arial" w:hAnsi="Arial"/>
          <w:color w:val="666666"/>
          <w:sz w:val="20"/>
          <w:szCs w:val="20"/>
        </w:rPr>
        <w:t xml:space="preserve">Victoria B. Robinson: »Innocent Racism« (Gedicht/Essay)</w:t>
      </w:r>
    </w:p>
    <w:p>
      <w:pPr>
        <w:pStyle w:val="ListParagraph"/>
        <w:numPr>
          <w:ilvl w:val="0"/>
          <w:numId w:val="3"/>
        </w:numPr>
        <w:spacing w:after="30" w:before="30"/>
      </w:pPr>
      <w:r>
        <w:rPr>
          <w:rFonts w:ascii="Arial" w:cs="Arial" w:eastAsia="Arial" w:hAnsi="Arial"/>
          <w:color w:val="666666"/>
          <w:sz w:val="20"/>
          <w:szCs w:val="20"/>
        </w:rPr>
        <w:t xml:space="preserve">Astrid Messerschmidt: Rassismuskritische Bildungsarbeit</w:t>
      </w:r>
    </w:p>
    <w:p>
      <w:pPr>
        <w:pStyle w:val="ListParagraph"/>
        <w:numPr>
          <w:ilvl w:val="0"/>
          <w:numId w:val="3"/>
        </w:numPr>
        <w:spacing w:after="30" w:before="30"/>
      </w:pPr>
      <w:r>
        <w:rPr>
          <w:rFonts w:ascii="Arial" w:cs="Arial" w:eastAsia="Arial" w:hAnsi="Arial"/>
          <w:color w:val="666666"/>
          <w:sz w:val="20"/>
          <w:szCs w:val="20"/>
        </w:rPr>
        <w:t xml:space="preserve">Andreas Zick: Spielarten des Rassismus</w:t>
      </w:r>
    </w:p>
    <w:p>
      <w:pPr>
        <w:pStyle w:val="ListParagraph"/>
        <w:numPr>
          <w:ilvl w:val="0"/>
          <w:numId w:val="3"/>
        </w:numPr>
        <w:spacing w:after="30" w:before="30"/>
      </w:pPr>
      <w:r>
        <w:rPr>
          <w:rFonts w:ascii="Arial" w:cs="Arial" w:eastAsia="Arial" w:hAnsi="Arial"/>
          <w:color w:val="666666"/>
          <w:sz w:val="20"/>
          <w:szCs w:val="20"/>
        </w:rPr>
        <w:t xml:space="preserve">Nelson Mandela, Martin Luther King Jr., Banksy (Zitate)</w:t>
      </w:r>
    </w:p>
    <w:p>
      <w:pPr>
        <w:pStyle w:val="ListParagraph"/>
        <w:numPr>
          <w:ilvl w:val="0"/>
          <w:numId w:val="3"/>
        </w:numPr>
        <w:spacing w:after="30" w:before="30"/>
      </w:pPr>
      <w:r>
        <w:rPr>
          <w:rFonts w:ascii="Arial" w:cs="Arial" w:eastAsia="Arial" w:hAnsi="Arial"/>
          <w:color w:val="666666"/>
          <w:sz w:val="20"/>
          <w:szCs w:val="20"/>
        </w:rPr>
        <w:t xml:space="preserve">Antidiskriminierungsbüro (ADB): Sprache schafft Wirklichkeit, Köln 2013</w:t>
      </w:r>
    </w:p>
    <w:p>
      <w:pPr>
        <w:spacing w:after="80" w:before="80"/>
      </w:pPr>
      <w:r>
        <w:t xml:space="preserve"/>
      </w:r>
    </w:p>
    <w:p>
      <w:pPr>
        <w:pStyle w:val="Heading1"/>
        <w:pBdr>
          <w:bottom w:val="single" w:color="1A3D6B" w:sz="6" w:space="4"/>
        </w:pBdr>
        <w:spacing w:after="120" w:before="360"/>
      </w:pPr>
      <w:r>
        <w:rPr>
          <w:rFonts w:ascii="Arial" w:cs="Arial" w:eastAsia="Arial" w:hAnsi="Arial"/>
          <w:b/>
          <w:bCs/>
          <w:color w:val="1A3D6B"/>
          <w:sz w:val="28"/>
          <w:szCs w:val="28"/>
        </w:rPr>
        <w:t xml:space="preserve">7. Versionshinweise</w:t>
      </w:r>
    </w:p>
    <w:p>
      <w:pPr>
        <w:spacing w:after="80" w:before="60"/>
      </w:pPr>
      <w:r>
        <w:rPr>
          <w:rFonts w:ascii="Arial" w:cs="Arial" w:eastAsia="Arial" w:hAnsi="Arial"/>
          <w:color w:val="444444"/>
          <w:sz w:val="22"/>
          <w:szCs w:val="22"/>
        </w:rPr>
        <w:t xml:space="preserve">Version 4 – finale Version nach mehrstufiger Qualitätsprüfung.</w:t>
      </w:r>
    </w:p>
    <w:p>
      <w:pPr>
        <w:spacing w:after="80" w:before="80"/>
      </w:pPr>
      <w:r>
        <w:t xml:space="preserve"/>
      </w:r>
    </w:p>
    <w:p>
      <w:pPr>
        <w:pStyle w:val="ListParagraph"/>
        <w:numPr>
          <w:ilvl w:val="0"/>
          <w:numId w:val="2"/>
        </w:numPr>
        <w:spacing w:after="40" w:before="40"/>
      </w:pPr>
      <w:r>
        <w:rPr>
          <w:rFonts w:ascii="Arial" w:cs="Arial" w:eastAsia="Arial" w:hAnsi="Arial"/>
          <w:b w:val="false"/>
          <w:bCs w:val="false"/>
          <w:color w:val="444444"/>
          <w:sz w:val="22"/>
          <w:szCs w:val="22"/>
        </w:rPr>
        <w:t xml:space="preserve">Version 1: Grundstruktur mit 3 × 4 Modulen, helles Design</w:t>
      </w:r>
    </w:p>
    <w:p>
      <w:pPr>
        <w:pStyle w:val="ListParagraph"/>
        <w:numPr>
          <w:ilvl w:val="0"/>
          <w:numId w:val="2"/>
        </w:numPr>
        <w:spacing w:after="40" w:before="40"/>
      </w:pPr>
      <w:r>
        <w:rPr>
          <w:rFonts w:ascii="Arial" w:cs="Arial" w:eastAsia="Arial" w:hAnsi="Arial"/>
          <w:b w:val="false"/>
          <w:bCs w:val="false"/>
          <w:color w:val="444444"/>
          <w:sz w:val="22"/>
          <w:szCs w:val="22"/>
        </w:rPr>
        <w:t xml:space="preserve">Version 2: Erweiterung auf 3 × 6 Module, Warm-Slate-Farbschema</w:t>
      </w:r>
    </w:p>
    <w:p>
      <w:pPr>
        <w:pStyle w:val="ListParagraph"/>
        <w:numPr>
          <w:ilvl w:val="0"/>
          <w:numId w:val="2"/>
        </w:numPr>
        <w:spacing w:after="40" w:before="40"/>
      </w:pPr>
      <w:r>
        <w:rPr>
          <w:rFonts w:ascii="Arial" w:cs="Arial" w:eastAsia="Arial" w:hAnsi="Arial"/>
          <w:b w:val="false"/>
          <w:bCs w:val="false"/>
          <w:color w:val="444444"/>
          <w:sz w:val="22"/>
          <w:szCs w:val="22"/>
        </w:rPr>
        <w:t xml:space="preserve">Version 3: Erdhintergrund &amp; Regenbogendesign, Handlungstresor eingeführt</w:t>
      </w:r>
    </w:p>
    <w:p>
      <w:pPr>
        <w:pStyle w:val="ListParagraph"/>
        <w:numPr>
          <w:ilvl w:val="0"/>
          <w:numId w:val="2"/>
        </w:numPr>
        <w:spacing w:after="40" w:before="40"/>
      </w:pPr>
      <w:r>
        <w:rPr>
          <w:rFonts w:ascii="Arial" w:cs="Arial" w:eastAsia="Arial" w:hAnsi="Arial"/>
          <w:b w:val="false"/>
          <w:bCs w:val="false"/>
          <w:color w:val="444444"/>
          <w:sz w:val="22"/>
          <w:szCs w:val="22"/>
        </w:rPr>
        <w:t xml:space="preserve">Version 4: Vollständige 30 Module, Inter-Schrift, Qualitätsprüfung, alle Reflexionsfragen überarbeitet, JS-Bugs behoben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0"/>
            </w:pPr>
            <w:r>
              <w:rPr>
                <w:rFonts w:ascii="Arial" w:cs="Arial" w:eastAsia="Arial" w:hAnsi="Arial"/>
                <w:b/>
                <w:bCs/>
                <w:color w:val="1A3D6B"/>
                <w:sz w:val="20"/>
                <w:szCs w:val="20"/>
              </w:rPr>
              <w:t xml:space="preserve">Entwicklung</w:t>
            </w:r>
          </w:p>
          <w:p>
            <w:pPr>
              <w:spacing w:after="0" w:before="0"/>
            </w:pPr>
            <w:r>
              <w:rPr>
                <w:rFonts w:ascii="Arial" w:cs="Arial" w:eastAsia="Arial" w:hAnsi="Arial"/>
                <w:color w:val="444444"/>
                <w:sz w:val="20"/>
                <w:szCs w:val="20"/>
              </w:rPr>
              <w:t xml:space="preserve">Entwickelt mit Unterstützung von Claude (Anthropic) auf Basis pädagogischer Anforderungen einer Lehrkraft. Alle Inhalte wurden gegen die Quellmaterialien geprüft und auf antirassistische Konsistenz überarbeitet.</w:t>
            </w:r>
          </w:p>
        </w:tc>
      </w:tr>
    </w:tbl>
    <w:p>
      <w:pPr>
        <w:spacing w:after="80" w:before="80"/>
      </w:pPr>
      <w:r>
        <w:t xml:space="preserve"/>
      </w:r>
    </w:p>
    <w:p>
      <w:pPr>
        <w:pBdr>
          <w:top w:val="single" w:color="CCCCCC" w:sz="4" w:space="12"/>
        </w:pBdr>
        <w:spacing w:after="80" w:before="480"/>
        <w:jc w:val="center"/>
      </w:pPr>
      <w:r>
        <w:rPr>
          <w:rFonts w:ascii="Arial" w:cs="Arial" w:eastAsia="Arial" w:hAnsi="Arial"/>
          <w:i/>
          <w:iCs/>
          <w:color w:val="1B6B5A"/>
          <w:sz w:val="22"/>
          <w:szCs w:val="22"/>
        </w:rPr>
        <w:t xml:space="preserve">»Mit uns fängt es an, dass der Rassismus aufhört.«</w:t>
      </w:r>
    </w:p>
    <w:p>
      <w:pPr>
        <w:spacing w:after="0" w:before="0"/>
        <w:jc w:val="center"/>
      </w:pPr>
      <w:r>
        <w:rPr>
          <w:rFonts w:ascii="Arial" w:cs="Arial" w:eastAsia="Arial" w:hAnsi="Arial"/>
          <w:color w:val="888888"/>
          <w:sz w:val="18"/>
          <w:szCs w:val="18"/>
        </w:rPr>
        <w:t xml:space="preserve">Arbeitsheft gegen Rassismus, Königin-Luise-Schule Köln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Antirassismus-Schule Lernpfad  ·  Seite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von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D6B"/>
      <w:sz w:val="28"/>
      <w:szCs w:val="28"/>
    </w:rPr>
  </w:style>
  <w:style w:type="paragraph" w:styleId="Heading2">
    <w:name w:val="Heading 2"/>
    <w:basedOn w:val="Normal"/>
    <w:next w:val="Normal"/>
    <w:qFormat/>
    <w:pPr>
      <w:spacing w:after="80" w:before="280"/>
      <w:outlineLvl w:val="1"/>
    </w:pPr>
    <w:rPr>
      <w:rFonts w:ascii="Arial" w:cs="Arial" w:eastAsia="Arial" w:hAnsi="Arial"/>
      <w:b/>
      <w:bCs/>
      <w:color w:val="1B6B5A"/>
      <w:sz w:val="24"/>
      <w:szCs w:val="24"/>
    </w:rPr>
  </w:style>
  <w:style w:type="paragraph" w:styleId="Heading3">
    <w:name w:val="Heading 3"/>
    <w:basedOn w:val="Normal"/>
    <w:next w:val="Normal"/>
    <w:qFormat/>
    <w:pPr>
      <w:spacing w:after="60" w:before="200"/>
      <w:outlineLvl w:val="2"/>
    </w:pPr>
    <w:rPr>
      <w:rFonts w:ascii="Arial" w:cs="Arial" w:eastAsia="Arial" w:hAnsi="Arial"/>
      <w:b/>
      <w:bCs/>
      <w:color w:val="C05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2026-05-20T05:54:45.819Z</dcterms:created>
  <dcterms:modified xsi:type="dcterms:W3CDTF">2026-05-20T05:54:45.819Z</dcterms:modified>
</cp:coreProperties>
</file>

<file path=docProps/custom.xml><?xml version="1.0" encoding="utf-8"?>
<Properties xmlns="http://schemas.openxmlformats.org/officeDocument/2006/custom-properties" xmlns:vt="http://schemas.openxmlformats.org/officeDocument/2006/docPropsVTypes"/>
</file>