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Instructions for Use: Meridian Pump 2</w:t>
      </w:r>
    </w:p>
    <w:p>
      <w:r>
        <w:t>This document describes safe operation of the device for the trained user. Read all warnings before first use.</w:t>
      </w:r>
    </w:p>
    <w:p>
      <w:pPr>
        <w:pStyle w:val="Heading2"/>
      </w:pPr>
      <w:r>
        <w:t>Intended User</w:t>
      </w:r>
    </w:p>
    <w:p>
      <w:r>
        <w:t>The device is intended for use by a physician or other trained clinician in a hospital setting. Refer to the IFU for cleaning instructions before first use.</w:t>
      </w:r>
    </w:p>
    <w:p>
      <w:r>
        <w:t>Operators shall complete the training module before independent use.</w:t>
      </w:r>
    </w:p>
    <w:p>
      <w:pPr>
        <w:pStyle w:val="Heading2"/>
      </w:pPr>
      <w:r>
        <w:t>Setting Up The Infusion Set</w:t>
      </w:r>
    </w:p>
    <w:p>
      <w:r>
        <w:t>Attach the infusion set to the pump and prime the line. Each infusion set is single use only.</w:t>
      </w:r>
    </w:p>
    <w:p>
      <w:pPr>
        <w:pStyle w:val="ListBullet"/>
      </w:pPr>
      <w:r>
        <w:t>Confirm the reservoir volume does not exceed 250 ml.</w:t>
      </w:r>
    </w:p>
    <w:p>
      <w:pPr>
        <w:pStyle w:val="ListBullet"/>
      </w:pPr>
      <w:r>
        <w:t>Select the protocol from the medication library before starting therapy.</w:t>
      </w:r>
    </w:p>
    <w:p>
      <w:pPr>
        <w:pStyle w:val="Heading2"/>
      </w:pPr>
      <w:r>
        <w:t>What You May Experience</w:t>
      </w:r>
    </w:p>
    <w:p>
      <w:r>
        <w:t>Talk to your care team if you notice any side effect while using the pump. Common side effects include redness at the infusion site. Most side effects are mild and go away on their own.</w:t>
      </w:r>
    </w:p>
    <w:p>
      <w:pPr>
        <w:pStyle w:val="Heading2"/>
      </w:pPr>
      <w:r>
        <w:t>Regulatory Note</w:t>
      </w:r>
    </w:p>
    <w:p>
      <w:r>
        <w:t>The regulation states that "the physician shall maintain records" per 21 CFR 820.180.</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Limit</w:t>
            </w:r>
          </w:p>
        </w:tc>
      </w:tr>
      <w:tr>
        <w:tc>
          <w:tcPr>
            <w:tcW w:type="dxa" w:w="4320"/>
          </w:tcPr>
          <w:p>
            <w:r>
              <w:t>Maximum rate</w:t>
            </w:r>
          </w:p>
        </w:tc>
        <w:tc>
          <w:tcPr>
            <w:tcW w:type="dxa" w:w="4320"/>
          </w:tcPr>
          <w:p>
            <w:r>
              <w:t>999 ml/hr</w:t>
            </w:r>
          </w:p>
        </w:tc>
      </w:tr>
      <w:tr>
        <w:tc>
          <w:tcPr>
            <w:tcW w:type="dxa" w:w="4320"/>
          </w:tcPr>
          <w:p>
            <w:r>
              <w:t>Infusion Set life</w:t>
            </w:r>
          </w:p>
        </w:tc>
        <w:tc>
          <w:tcPr>
            <w:tcW w:type="dxa" w:w="4320"/>
          </w:tcPr>
          <w:p>
            <w:r>
              <w:t>96 hours, single use</w:t>
            </w:r>
          </w:p>
        </w:tc>
      </w:tr>
      <w:tr>
        <w:tc>
          <w:tcPr>
            <w:tcW w:type="dxa" w:w="4320"/>
          </w:tcPr>
          <w:p>
            <w:r>
              <w:t>Alarm condition display</w:t>
            </w:r>
          </w:p>
        </w:tc>
        <w:tc>
          <w:tcPr>
            <w:tcW w:type="dxa" w:w="4320"/>
          </w:tcPr>
          <w:p>
            <w:r>
              <w:t>Front panel</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Meridian Medical - Rev C - single use device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Document IFU-001 - Meridian Pump 2 Instructions for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