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Document: Meridian Infusion System</w:t>
      </w:r>
    </w:p>
    <w:p>
      <w:r>
        <w:t>This document contains only approved terminology and must never be flagged by the scanner. It exercises the false-positive path.</w:t>
      </w:r>
    </w:p>
    <w:p>
      <w:pPr>
        <w:pStyle w:val="Heading2"/>
      </w:pPr>
      <w:r>
        <w:t>Approved Usage</w:t>
      </w:r>
    </w:p>
    <w:p>
      <w:r>
        <w:t>The healthcare provider configures the medication library before dispatch. Each administration set is single-use only and must be discarded after 96 hours.</w:t>
      </w:r>
    </w:p>
    <w:p>
      <w:r>
        <w:t>Reservoir capacity is 500 mL. Any alarm condition must be recorded in the maintenance log, and the clinician must respond within 30 seconds.</w:t>
      </w:r>
    </w:p>
    <w:p>
      <w:r>
        <w:t>Adverse events are reported per the labeling and the risk management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Maximum rate</w:t>
            </w:r>
          </w:p>
        </w:tc>
        <w:tc>
          <w:tcPr>
            <w:tcW w:type="dxa" w:w="4320"/>
          </w:tcPr>
          <w:p>
            <w:r>
              <w:t>999 mL/hr</w:t>
            </w:r>
          </w:p>
        </w:tc>
      </w:tr>
      <w:tr>
        <w:tc>
          <w:tcPr>
            <w:tcW w:type="dxa" w:w="4320"/>
          </w:tcPr>
          <w:p>
            <w:r>
              <w:t>Administration set life</w:t>
            </w:r>
          </w:p>
        </w:tc>
        <w:tc>
          <w:tcPr>
            <w:tcW w:type="dxa" w:w="4320"/>
          </w:tcPr>
          <w:p>
            <w:r>
              <w:t>96 hours, single-use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1 - clean control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Control document CTL-001 - Meridian Infusion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