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Risk Management Summary</w:t>
      </w:r>
    </w:p>
    <w:p>
      <w:r>
        <w:t>This summary records residual risk for the Meridian Pump 2 following design verification.</w:t>
      </w:r>
    </w:p>
    <w:p>
      <w:pPr>
        <w:pStyle w:val="Heading2"/>
      </w:pPr>
      <w:r>
        <w:t>Residual Risk</w:t>
      </w:r>
    </w:p>
    <w:p>
      <w:r>
        <w:t>Each identified side effect has been evaluated against the acceptability criteria in the risk plan. Occlusion remains the highest-severity hazard.</w:t>
      </w:r>
    </w:p>
    <w:p>
      <w:r>
        <w:t>Mitigations rely on labelling and on the alarm subsystem. The user shall respond to every alarm condition within 30 seconds.</w:t>
      </w:r>
    </w:p>
    <w:p>
      <w:r>
        <w:t>Residual risk is accepted for the infusion set occlusion hazard.</w:t>
      </w:r>
      <w:r>
        <w:rPr>
          <w:rStyle w:val="FootnoteReference"/>
        </w:rPr>
        <w:footnoteReference w:id="1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Hazard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Over-infusion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Medication library limits</w:t>
            </w:r>
          </w:p>
        </w:tc>
      </w:tr>
      <w:tr>
        <w:tc>
          <w:tcPr>
            <w:tcW w:type="dxa" w:w="2880"/>
          </w:tcPr>
          <w:p>
            <w:r>
              <w:t>Occlusion</w:t>
            </w:r>
          </w:p>
        </w:tc>
        <w:tc>
          <w:tcPr>
            <w:tcW w:type="dxa" w:w="2880"/>
          </w:tcPr>
          <w:p>
            <w:r>
              <w:t>Serious</w:t>
            </w:r>
          </w:p>
        </w:tc>
        <w:tc>
          <w:tcPr>
            <w:tcW w:type="dxa" w:w="2880"/>
          </w:tcPr>
          <w:p>
            <w:r>
              <w:t>Error message and alarm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Meridian Medical - Rev B - confidential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Occlusion testing was performed at 250 ml/hr by the supervising physician.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Risk Management Summary RMS-002 - labelling controls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00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