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Procedure: Device Servicing</w:t>
      </w:r>
    </w:p>
    <w:p>
      <w:r>
        <w:t>This procedure applies to all servicing activity on the Meridian Pump 2 platform.</w:t>
      </w:r>
    </w:p>
    <w:p>
      <w:pPr>
        <w:pStyle w:val="Heading2"/>
      </w:pPr>
      <w:r>
        <w:t>Responsibilities</w:t>
      </w:r>
    </w:p>
    <w:p>
      <w:r>
        <w:t>The service technician shall record each intervention in the maintenance log. The supervising physician reviews the log monthly.</w:t>
      </w:r>
    </w:p>
    <w:p>
      <w:r>
        <w:t>Any error message observed during servicing shall be recorded with its code and timestamp.</w:t>
      </w:r>
    </w:p>
    <w:p>
      <w:pPr>
        <w:pStyle w:val="Heading2"/>
      </w:pPr>
      <w:r>
        <w:t>Procedure</w:t>
      </w:r>
    </w:p>
    <w:p>
      <w:pPr>
        <w:pStyle w:val="ListBullet"/>
      </w:pPr>
      <w:r>
        <w:t>Disconnect the infusion set before opening the case.</w:t>
      </w:r>
    </w:p>
    <w:p>
      <w:pPr>
        <w:pStyle w:val="ListBullet"/>
      </w:pPr>
      <w:r>
        <w:t>Verify the drug library version matches the release note.</w:t>
      </w:r>
    </w:p>
    <w:p>
      <w:pPr>
        <w:pStyle w:val="ListBullet"/>
      </w:pPr>
      <w:r>
        <w:t>Confirm the reservoir is drained below 5 ml.</w:t>
      </w:r>
    </w:p>
    <w:p>
      <w:pPr>
        <w:pStyle w:val="Heading2"/>
      </w:pPr>
      <w:r>
        <w:t>Historical Note</w:t>
      </w:r>
    </w:p>
    <w:p>
      <w:r>
        <w:t>This procedure supersedes SVC-11, which covered the device formerly known as the Meridian Pump 2, and is retained for traceability.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Inspect infusion set port</w:t>
            </w:r>
          </w:p>
        </w:tc>
        <w:tc>
          <w:tcPr>
            <w:tcW w:type="dxa" w:w="2880"/>
          </w:tcPr>
          <w:p>
            <w:r>
              <w:t>Technician</w:t>
            </w:r>
          </w:p>
        </w:tc>
        <w:tc>
          <w:tcPr>
            <w:tcW w:type="dxa" w:w="2880"/>
          </w:tcPr>
          <w:p>
            <w:r>
              <w:t>Form S-1</w:t>
            </w:r>
          </w:p>
        </w:tc>
      </w:tr>
      <w:tr>
        <w:tc>
          <w:tcPr>
            <w:tcW w:type="dxa" w:w="2880"/>
          </w:tcPr>
          <w:p>
            <w:r>
              <w:t>Review error message log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Form S-2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copy - Rev 4 - page 1 of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SOP-001 - Device Servicing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