
<file path=[Content_Types].xml><?xml version="1.0" encoding="utf-8"?>
<Types xmlns="http://schemas.openxmlformats.org/package/2006/content-types">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document.xml" ContentType="application/vnd.openxmlformats-officedocument.wordprocessingml.document.main+xml"/>
  <Override PartName="/docProps/app.xml" ContentType="application/vnd.openxmlformats-officedocument.extended-properties+xml"/>
  <Override PartName="/word/fontTable.xml" ContentType="application/vnd.openxmlformats-officedocument.wordprocessingml.fontTable+xml"/>
  <Default Extension="bin" ContentType="application/vnd.openxmlformats-officedocument.wordprocessingml.printerSettings"/>
  <Override PartName="/customXml/itemProps1.xml" ContentType="application/vnd.openxmlformats-officedocument.customXmlProperties+xml"/>
  <Default Extension="rels" ContentType="application/vnd.openxmlformats-package.relationships+xml"/>
  <Override PartName="/word/styles.xml" ContentType="application/vnd.openxmlformats-officedocument.wordprocessingml.styles+xml"/>
  <Override PartName="/word/webSettings.xml" ContentType="application/vnd.openxmlformats-officedocument.wordprocessingml.webSettings+xml"/>
  <Override PartName="/word/header1.xml" ContentType="application/vnd.openxmlformats-officedocument.wordprocessingml.header+xml"/>
  <Override PartName="/word/numbering.xml" ContentType="application/vnd.openxmlformats-officedocument.wordprocessingml.numbering+xml"/>
  <Override PartName="/word/theme/theme1.xml" ContentType="application/vnd.openxmlformats-officedocument.theme+xml"/>
  <Default Extension="jpeg" ContentType="image/jpeg"/>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174777" w:rsidRDefault="00595236" w:rsidP="00E15FC0">
      <w:pPr>
        <w:spacing w:line="480" w:lineRule="auto"/>
      </w:pPr>
      <w:r>
        <w:t>Vicki Lindem</w:t>
      </w:r>
    </w:p>
    <w:p w:rsidR="00595236" w:rsidRDefault="00174777" w:rsidP="00E15FC0">
      <w:pPr>
        <w:spacing w:line="480" w:lineRule="auto"/>
      </w:pPr>
      <w:r>
        <w:t xml:space="preserve">Professor Mary Kelly </w:t>
      </w:r>
    </w:p>
    <w:p w:rsidR="00595236" w:rsidRDefault="00595236" w:rsidP="00E15FC0">
      <w:pPr>
        <w:spacing w:line="480" w:lineRule="auto"/>
      </w:pPr>
      <w:r>
        <w:t>MALAS600A/RS581</w:t>
      </w:r>
    </w:p>
    <w:p w:rsidR="00E92A8F" w:rsidRDefault="00174777" w:rsidP="00E15FC0">
      <w:pPr>
        <w:spacing w:line="480" w:lineRule="auto"/>
      </w:pPr>
      <w:r>
        <w:t>11 December 2012</w:t>
      </w:r>
    </w:p>
    <w:p w:rsidR="00E92A8F" w:rsidRDefault="00E92A8F" w:rsidP="00E15FC0">
      <w:pPr>
        <w:spacing w:line="480" w:lineRule="auto"/>
      </w:pPr>
    </w:p>
    <w:p w:rsidR="00062991" w:rsidRDefault="00506C5A" w:rsidP="00F35902">
      <w:pPr>
        <w:spacing w:line="480" w:lineRule="auto"/>
        <w:jc w:val="center"/>
      </w:pPr>
      <w:r>
        <w:t>Of Women and</w:t>
      </w:r>
      <w:r w:rsidR="00E92A8F">
        <w:t xml:space="preserve"> Witches: A Case Study in Moral Panics</w:t>
      </w:r>
    </w:p>
    <w:p w:rsidR="006B7B73" w:rsidRDefault="00174777" w:rsidP="00E15FC0">
      <w:pPr>
        <w:spacing w:line="480" w:lineRule="auto"/>
      </w:pPr>
      <w:r>
        <w:tab/>
      </w:r>
      <w:r w:rsidR="006973A6">
        <w:t xml:space="preserve">The term “moral panic” </w:t>
      </w:r>
      <w:r w:rsidR="00CE0A14">
        <w:t xml:space="preserve">conjures up images of mass hysteria, of citizens running amok screaming about global warming or hurricanes. But moral panics go much deeper than </w:t>
      </w:r>
      <w:r w:rsidR="00DE0F31">
        <w:t xml:space="preserve">superficial, earthly threats; they are </w:t>
      </w:r>
      <w:r w:rsidR="006973A6">
        <w:t xml:space="preserve">external manifestations of </w:t>
      </w:r>
      <w:r w:rsidR="00DE0F31">
        <w:t>internal panics ingrained with deep-seeded moral conflicts and discri</w:t>
      </w:r>
      <w:r w:rsidR="004629E6">
        <w:t xml:space="preserve">mination. Homophobia and racial </w:t>
      </w:r>
      <w:r w:rsidR="00DE0F31">
        <w:t xml:space="preserve">intolerance </w:t>
      </w:r>
      <w:r w:rsidR="004629E6">
        <w:t xml:space="preserve">leads to blaming AIDS and </w:t>
      </w:r>
      <w:r w:rsidR="00DE0F31">
        <w:t>terrorism</w:t>
      </w:r>
      <w:r w:rsidR="004629E6">
        <w:t xml:space="preserve"> on respective populations</w:t>
      </w:r>
      <w:r w:rsidR="00DE0F31">
        <w:t>. A spec</w:t>
      </w:r>
      <w:r w:rsidR="006B7B73">
        <w:t>ific example</w:t>
      </w:r>
      <w:r w:rsidR="004629E6">
        <w:t>, which I shall use as a case study in moral panics, is the</w:t>
      </w:r>
      <w:r w:rsidR="006B7B73">
        <w:t xml:space="preserve"> late 16</w:t>
      </w:r>
      <w:r w:rsidR="006B7B73" w:rsidRPr="00062991">
        <w:rPr>
          <w:vertAlign w:val="superscript"/>
        </w:rPr>
        <w:t>th</w:t>
      </w:r>
      <w:r w:rsidR="006B7B73">
        <w:t xml:space="preserve"> century and early 17</w:t>
      </w:r>
      <w:r w:rsidR="006B7B73" w:rsidRPr="00062991">
        <w:rPr>
          <w:vertAlign w:val="superscript"/>
        </w:rPr>
        <w:t>th</w:t>
      </w:r>
      <w:r w:rsidR="006B7B73">
        <w:t xml:space="preserve"> century witch panic in Europe</w:t>
      </w:r>
      <w:r w:rsidR="004629E6">
        <w:t>.</w:t>
      </w:r>
      <w:r w:rsidR="006B7B73">
        <w:t xml:space="preserve"> </w:t>
      </w:r>
      <w:r w:rsidR="004629E6">
        <w:t xml:space="preserve">This extreme moral panic </w:t>
      </w:r>
      <w:r w:rsidR="006B7B73">
        <w:t xml:space="preserve">explicitly </w:t>
      </w:r>
      <w:r w:rsidR="006E59A0">
        <w:t>labeled</w:t>
      </w:r>
      <w:r w:rsidR="006B7B73">
        <w:t xml:space="preserve"> witches as female and perpetuated an already </w:t>
      </w:r>
      <w:r w:rsidR="004629E6">
        <w:t xml:space="preserve">sexual </w:t>
      </w:r>
      <w:r w:rsidR="006B7B73">
        <w:t>discriminatory point of view.</w:t>
      </w:r>
    </w:p>
    <w:p w:rsidR="003F2AA9" w:rsidRDefault="00174777" w:rsidP="00E15FC0">
      <w:pPr>
        <w:spacing w:line="480" w:lineRule="auto"/>
      </w:pPr>
      <w:r>
        <w:tab/>
      </w:r>
      <w:r w:rsidR="00062991">
        <w:t>In reflecting on the late 16</w:t>
      </w:r>
      <w:r w:rsidR="00062991" w:rsidRPr="00062991">
        <w:rPr>
          <w:vertAlign w:val="superscript"/>
        </w:rPr>
        <w:t>th</w:t>
      </w:r>
      <w:r w:rsidR="00062991">
        <w:t xml:space="preserve"> century and early 17</w:t>
      </w:r>
      <w:r w:rsidR="00062991" w:rsidRPr="00062991">
        <w:rPr>
          <w:vertAlign w:val="superscript"/>
        </w:rPr>
        <w:t>th</w:t>
      </w:r>
      <w:r w:rsidR="00062991">
        <w:t xml:space="preserve"> century witch panic in Europe, several questions come to mind: </w:t>
      </w:r>
      <w:r w:rsidR="00F177A0">
        <w:t xml:space="preserve">How does Stanley Cohen’s concept of “moral panics” relate to the female depiction of witches during the early modern Europe witch-hunts? How can we use this iconic social phenomenon to reconstruct the path a panic takes? In attempting to answer these questions, we must consider that the construction and subsequent diminution of moral panics is a complicated process. </w:t>
      </w:r>
      <w:r w:rsidR="00811B2C">
        <w:t xml:space="preserve">Cultural and psychological anthropologist Gilbert </w:t>
      </w:r>
      <w:proofErr w:type="spellStart"/>
      <w:r w:rsidR="00811B2C">
        <w:t>Herdt</w:t>
      </w:r>
      <w:proofErr w:type="spellEnd"/>
      <w:r w:rsidR="00811B2C">
        <w:t xml:space="preserve"> </w:t>
      </w:r>
      <w:r w:rsidR="00783876">
        <w:t>states,</w:t>
      </w:r>
      <w:r w:rsidR="00811B2C">
        <w:t xml:space="preserve"> “Moral panics expose the ideologies, hierarchies, and social fissures of society, typically registered, as with any human phenomena, along the lines of systemic forms of structural violence. Nowhere is this more pernicious than in the reproduction of sex and ge</w:t>
      </w:r>
      <w:r w:rsidR="009764AE">
        <w:t>nder differences.” (</w:t>
      </w:r>
      <w:r w:rsidR="00811B2C">
        <w:t xml:space="preserve">18). By identifying key political, legal, social, and religious ideologies evident during the late </w:t>
      </w:r>
      <w:r w:rsidR="001674EC">
        <w:t>16</w:t>
      </w:r>
      <w:r w:rsidR="00811B2C" w:rsidRPr="00811B2C">
        <w:rPr>
          <w:vertAlign w:val="superscript"/>
        </w:rPr>
        <w:t>th</w:t>
      </w:r>
      <w:r w:rsidR="00811B2C">
        <w:t xml:space="preserve"> and early </w:t>
      </w:r>
      <w:r w:rsidR="001674EC">
        <w:t>17</w:t>
      </w:r>
      <w:r w:rsidR="00811B2C" w:rsidRPr="00811B2C">
        <w:rPr>
          <w:vertAlign w:val="superscript"/>
        </w:rPr>
        <w:t>th</w:t>
      </w:r>
      <w:r w:rsidR="00811B2C">
        <w:t xml:space="preserve"> century witch-hunts in Europe, we can better evaluate how and why </w:t>
      </w:r>
      <w:r w:rsidR="002D7E2B">
        <w:t>gender played a part. Once we analyze this specific</w:t>
      </w:r>
      <w:r w:rsidR="00811B2C">
        <w:t xml:space="preserve"> moral panic process, I believe we can apply the concl</w:t>
      </w:r>
      <w:r w:rsidR="002D7E2B">
        <w:t>usions to current moral panics and realize why and how they materialize as they do</w:t>
      </w:r>
      <w:r w:rsidR="00506C5A">
        <w:t>.</w:t>
      </w:r>
    </w:p>
    <w:p w:rsidR="003F2AA9" w:rsidRDefault="003F2AA9" w:rsidP="00E15FC0">
      <w:pPr>
        <w:spacing w:line="480" w:lineRule="auto"/>
      </w:pPr>
    </w:p>
    <w:p w:rsidR="00077D44" w:rsidRDefault="00477BEF" w:rsidP="00E15FC0">
      <w:pPr>
        <w:spacing w:line="480" w:lineRule="auto"/>
      </w:pPr>
      <w:r>
        <w:t xml:space="preserve">MORAL </w:t>
      </w:r>
      <w:r w:rsidR="003F2AA9">
        <w:t>PANIC</w:t>
      </w:r>
      <w:r>
        <w:t>S: A BRIEF DEFINITION</w:t>
      </w:r>
    </w:p>
    <w:p w:rsidR="007A65D0" w:rsidRDefault="00477BEF" w:rsidP="00E15FC0">
      <w:pPr>
        <w:spacing w:line="480" w:lineRule="auto"/>
      </w:pPr>
      <w:r>
        <w:t>So what is a moral panic exactly</w:t>
      </w:r>
      <w:r w:rsidR="001531DE">
        <w:t>? Stanley Cohen, the man who first coined the term “moral panic” observes, “Societies appear to be subject, every now and then, to periods of moral panic. A condition, episode, person or group of persons emerges to become defined as a threat to societal values and interests” (1). This definition may seem very vague, and rightfully so since moral panics take all shapes and forms. However, for the purposes of this discussion, I believe a narrower definition is required.</w:t>
      </w:r>
      <w:r w:rsidR="00384387">
        <w:t xml:space="preserve"> </w:t>
      </w:r>
      <w:r w:rsidR="00E6407E">
        <w:t xml:space="preserve">Sociologists </w:t>
      </w:r>
      <w:r w:rsidR="00384387">
        <w:t>Erich</w:t>
      </w:r>
      <w:r w:rsidR="001531DE">
        <w:t xml:space="preserve"> </w:t>
      </w:r>
      <w:r w:rsidR="00384387">
        <w:t xml:space="preserve">Goode and </w:t>
      </w:r>
      <w:proofErr w:type="spellStart"/>
      <w:r w:rsidR="00384387">
        <w:t>Nachman</w:t>
      </w:r>
      <w:proofErr w:type="spellEnd"/>
      <w:r w:rsidR="00384387">
        <w:t xml:space="preserve"> Ben-</w:t>
      </w:r>
      <w:proofErr w:type="spellStart"/>
      <w:r w:rsidR="00384387">
        <w:t>Yehuda</w:t>
      </w:r>
      <w:proofErr w:type="spellEnd"/>
      <w:r w:rsidR="00E6407E">
        <w:t xml:space="preserve"> suggest five criteria for the formation of a moral panic. These criteria include: concern, hostility, consensus, disproportionality, and volatility (156-158). We shall see how each of these criteria factor into the moral panic that gripped early modern Europe</w:t>
      </w:r>
      <w:r w:rsidR="00783876">
        <w:t xml:space="preserve"> and why women were a threat to </w:t>
      </w:r>
      <w:r w:rsidR="00F461C7">
        <w:t>societal</w:t>
      </w:r>
      <w:r w:rsidR="00783876">
        <w:t xml:space="preserve"> ideologies</w:t>
      </w:r>
      <w:r w:rsidR="00E6407E">
        <w:t>.</w:t>
      </w:r>
    </w:p>
    <w:p w:rsidR="0022593B" w:rsidRDefault="0022593B" w:rsidP="00E15FC0">
      <w:pPr>
        <w:spacing w:line="480" w:lineRule="auto"/>
      </w:pPr>
    </w:p>
    <w:p w:rsidR="00F461C7" w:rsidRDefault="00CF5C57" w:rsidP="00E15FC0">
      <w:pPr>
        <w:spacing w:line="480" w:lineRule="auto"/>
      </w:pPr>
      <w:r>
        <w:t>HISTORICAL CONTEXT</w:t>
      </w:r>
      <w:r w:rsidR="00F461C7">
        <w:tab/>
      </w:r>
    </w:p>
    <w:p w:rsidR="007D6F52" w:rsidRDefault="00FB542B" w:rsidP="00E15FC0">
      <w:pPr>
        <w:spacing w:line="480" w:lineRule="auto"/>
      </w:pPr>
      <w:r>
        <w:t xml:space="preserve">The rise of a moral panic begins with fear, anxiety, or concern about a real situation. The concern then turns into a widespread, irrational panic that is </w:t>
      </w:r>
      <w:r w:rsidR="0005171A">
        <w:t>“culturally and politically constructed, a product of the human ima</w:t>
      </w:r>
      <w:r w:rsidR="00420816">
        <w:t>gination” (Goode and Ben-</w:t>
      </w:r>
      <w:proofErr w:type="spellStart"/>
      <w:r w:rsidR="00420816">
        <w:t>Yehuda</w:t>
      </w:r>
      <w:proofErr w:type="spellEnd"/>
      <w:r w:rsidR="009764AE">
        <w:t xml:space="preserve"> </w:t>
      </w:r>
      <w:r w:rsidR="0005171A">
        <w:t xml:space="preserve">151). With this approach, a look at the cultural and political systems at the time of the </w:t>
      </w:r>
      <w:r w:rsidR="00BD3380">
        <w:t>witch-</w:t>
      </w:r>
      <w:r w:rsidR="0005171A">
        <w:t>hunts can provide insight into the moral panic’s formation.</w:t>
      </w:r>
      <w:r w:rsidR="005A60A1">
        <w:t xml:space="preserve"> Specifically, the social</w:t>
      </w:r>
      <w:r w:rsidR="00BD3380">
        <w:t xml:space="preserve"> structure, </w:t>
      </w:r>
      <w:r w:rsidR="005A60A1">
        <w:t xml:space="preserve">legal structure, and </w:t>
      </w:r>
      <w:r w:rsidR="009412D8">
        <w:t xml:space="preserve">views regarding the devil </w:t>
      </w:r>
      <w:r w:rsidR="00962067">
        <w:t xml:space="preserve">at the height of the </w:t>
      </w:r>
      <w:r w:rsidR="005A60A1">
        <w:t>hunt</w:t>
      </w:r>
      <w:r w:rsidR="00231928">
        <w:t xml:space="preserve">, roughly 1580-1650, </w:t>
      </w:r>
      <w:r w:rsidR="005A60A1">
        <w:t>are of particular importance.</w:t>
      </w:r>
      <w:r w:rsidR="007D6F52">
        <w:t xml:space="preserve"> </w:t>
      </w:r>
    </w:p>
    <w:p w:rsidR="0022593B" w:rsidRDefault="0022593B" w:rsidP="00E15FC0">
      <w:pPr>
        <w:spacing w:line="480" w:lineRule="auto"/>
        <w:ind w:left="720"/>
      </w:pPr>
    </w:p>
    <w:p w:rsidR="00CE7BC0" w:rsidRPr="0022593B" w:rsidRDefault="0087588B" w:rsidP="00E15FC0">
      <w:pPr>
        <w:spacing w:line="480" w:lineRule="auto"/>
        <w:rPr>
          <w:i/>
        </w:rPr>
      </w:pPr>
      <w:r w:rsidRPr="0022593B">
        <w:rPr>
          <w:i/>
        </w:rPr>
        <w:t>Social</w:t>
      </w:r>
      <w:r w:rsidR="0022593B">
        <w:rPr>
          <w:i/>
        </w:rPr>
        <w:t xml:space="preserve"> Context: </w:t>
      </w:r>
      <w:r w:rsidR="00075E54">
        <w:t>Sociologist</w:t>
      </w:r>
      <w:r w:rsidR="009568CB">
        <w:t>s</w:t>
      </w:r>
      <w:r w:rsidR="00075E54">
        <w:t xml:space="preserve"> Lee Clarke </w:t>
      </w:r>
      <w:r w:rsidR="009764AE">
        <w:t xml:space="preserve">and Caron Chess </w:t>
      </w:r>
      <w:r w:rsidR="00075E54">
        <w:t xml:space="preserve">of Rutgers University suggests that a “panic endures because it illuminates some fundamental aspects of social relations” (993). A </w:t>
      </w:r>
      <w:r w:rsidR="00553021">
        <w:t>panic</w:t>
      </w:r>
      <w:r w:rsidR="00075E54">
        <w:t xml:space="preserve"> emphasizes an already established dichotomy within a social structure. In relation to the witch-hunts during the late 16</w:t>
      </w:r>
      <w:r w:rsidR="00075E54" w:rsidRPr="00075E54">
        <w:rPr>
          <w:vertAlign w:val="superscript"/>
        </w:rPr>
        <w:t>th</w:t>
      </w:r>
      <w:r w:rsidR="00075E54">
        <w:t xml:space="preserve"> century and early 17</w:t>
      </w:r>
      <w:r w:rsidR="00075E54" w:rsidRPr="00075E54">
        <w:rPr>
          <w:vertAlign w:val="superscript"/>
        </w:rPr>
        <w:t>th</w:t>
      </w:r>
      <w:r w:rsidR="00075E54">
        <w:t xml:space="preserve"> century, we can distinguish </w:t>
      </w:r>
      <w:r w:rsidR="00BD1156">
        <w:t xml:space="preserve">between </w:t>
      </w:r>
      <w:r w:rsidR="00303AEC">
        <w:t>an</w:t>
      </w:r>
      <w:r w:rsidR="00BD1156">
        <w:t xml:space="preserve"> educated</w:t>
      </w:r>
      <w:r w:rsidR="00303AEC">
        <w:t xml:space="preserve"> elite </w:t>
      </w:r>
      <w:r w:rsidR="00BD1156">
        <w:t>and</w:t>
      </w:r>
      <w:r w:rsidR="00553021">
        <w:t xml:space="preserve"> the general public. </w:t>
      </w:r>
      <w:r w:rsidR="005A5B68">
        <w:t xml:space="preserve"> </w:t>
      </w:r>
      <w:r w:rsidR="00024F01">
        <w:t xml:space="preserve">Clarke and Chess offer three </w:t>
      </w:r>
      <w:r w:rsidR="004D5213">
        <w:t xml:space="preserve">models regarding elites and panics: elites fearing panic, elites panicking, and elites creating panic (996). </w:t>
      </w:r>
      <w:r w:rsidR="009568CB">
        <w:t xml:space="preserve">Sometimes we see multiple panic relationships acting simultaneously. </w:t>
      </w:r>
      <w:r w:rsidR="0066478D">
        <w:t xml:space="preserve">The witch-hunt panic in early modern Europe is an example of elites creating panic and elites panicking. More clearly, the panic of the elite created a panic in general. Because those higher up in society were just as at risk from witchcraft as the general public, arguably more so if witches were jealous, then their </w:t>
      </w:r>
      <w:r w:rsidR="00645AD4">
        <w:t>fear of witches</w:t>
      </w:r>
      <w:r w:rsidR="0066478D">
        <w:t xml:space="preserve"> was just as justified. And because “elite panic is more consequential than publi</w:t>
      </w:r>
      <w:r w:rsidR="00420816">
        <w:t xml:space="preserve">c panic” (Clark and Chess </w:t>
      </w:r>
      <w:r w:rsidR="0066478D">
        <w:t xml:space="preserve">1006), the </w:t>
      </w:r>
      <w:r w:rsidR="00645AD4">
        <w:t>fear of witches</w:t>
      </w:r>
      <w:r w:rsidR="0066478D">
        <w:t xml:space="preserve"> became more widespread and </w:t>
      </w:r>
      <w:r w:rsidR="00645AD4">
        <w:t>influential</w:t>
      </w:r>
      <w:r w:rsidR="00F03F1F">
        <w:t>. If the threat of witchcraft lay contained within lower classes, the witch-hunts would not have been as dramatic as they were because the lower classes</w:t>
      </w:r>
      <w:r w:rsidR="006C7DEF">
        <w:t xml:space="preserve"> alone</w:t>
      </w:r>
      <w:r w:rsidR="00F03F1F">
        <w:t xml:space="preserve"> would not have enough power to prosecute, torture, convict, and execute the witches.</w:t>
      </w:r>
    </w:p>
    <w:p w:rsidR="00890978" w:rsidRDefault="00890978" w:rsidP="00E15FC0">
      <w:pPr>
        <w:spacing w:line="480" w:lineRule="auto"/>
      </w:pPr>
    </w:p>
    <w:p w:rsidR="00CF5C57" w:rsidRDefault="00890978" w:rsidP="00E15FC0">
      <w:pPr>
        <w:spacing w:line="480" w:lineRule="auto"/>
      </w:pPr>
      <w:r w:rsidRPr="0022593B">
        <w:rPr>
          <w:i/>
        </w:rPr>
        <w:t>Legal</w:t>
      </w:r>
      <w:r w:rsidR="0022593B">
        <w:rPr>
          <w:i/>
        </w:rPr>
        <w:t xml:space="preserve"> System Changes</w:t>
      </w:r>
      <w:r w:rsidR="0022593B" w:rsidRPr="0022593B">
        <w:rPr>
          <w:i/>
        </w:rPr>
        <w:t>:</w:t>
      </w:r>
      <w:r w:rsidR="0022593B">
        <w:rPr>
          <w:b/>
        </w:rPr>
        <w:t xml:space="preserve"> </w:t>
      </w:r>
      <w:r>
        <w:t xml:space="preserve">Beginning in the thirteenth century, European legal systems </w:t>
      </w:r>
      <w:r w:rsidR="00C01C2B">
        <w:t>started</w:t>
      </w:r>
      <w:r>
        <w:t xml:space="preserve"> evolving from an accusatorial method</w:t>
      </w:r>
      <w:r w:rsidR="00C01C2B">
        <w:t>ical system</w:t>
      </w:r>
      <w:r>
        <w:t xml:space="preserve"> to an inq</w:t>
      </w:r>
      <w:r w:rsidR="009764AE">
        <w:t xml:space="preserve">uisitorial </w:t>
      </w:r>
      <w:r w:rsidR="00C01C2B">
        <w:t>one</w:t>
      </w:r>
      <w:r w:rsidR="00CE60E4">
        <w:t xml:space="preserve"> (</w:t>
      </w:r>
      <w:proofErr w:type="spellStart"/>
      <w:r w:rsidR="00CE60E4">
        <w:t>Levack</w:t>
      </w:r>
      <w:proofErr w:type="spellEnd"/>
      <w:r w:rsidR="00CE60E4">
        <w:t xml:space="preserve"> </w:t>
      </w:r>
      <w:r>
        <w:t xml:space="preserve">69-72). In the accusatorial system, one would accuse another before a judge. If the accuser could not provide substantial evidence or if the </w:t>
      </w:r>
      <w:r w:rsidR="00DB0591">
        <w:t>accused did not confess, results could be determined on a number of irrelevant conditions (mainly theologically based). The key part to this accusatorial system is that an accuser would be punished if he were not able to accurately condemn the accused. With personal risk on the line, one would be less likely to pursue suspects. With the rise of the inquisitorial system, however, this personal liability was lost. One aspect of the new system involved trial by jury. It was a</w:t>
      </w:r>
      <w:r w:rsidR="00CF5C57">
        <w:t>t the jury or</w:t>
      </w:r>
      <w:r w:rsidR="00DB0591">
        <w:t xml:space="preserve"> judge’s discretion whether someone was guilty or not based on witness testimony, confession, or other evidence; the burden was not on the accuser. The inquisitorial system could itself be a manifestation of moral panic. </w:t>
      </w:r>
      <w:proofErr w:type="spellStart"/>
      <w:r w:rsidR="00DB0591">
        <w:t>Levack</w:t>
      </w:r>
      <w:proofErr w:type="spellEnd"/>
      <w:r w:rsidR="00DB0591">
        <w:t xml:space="preserve"> states that the “main impetus came from the growing realization that crime – both ecclesiastical and secular – was increasing and h</w:t>
      </w:r>
      <w:r w:rsidR="009764AE">
        <w:t>ad to be reduced” (</w:t>
      </w:r>
      <w:r w:rsidR="00DB0591">
        <w:t xml:space="preserve">71). Thus, the anxiety felt from the </w:t>
      </w:r>
      <w:r w:rsidR="009B3520">
        <w:t>rise in crime</w:t>
      </w:r>
      <w:r w:rsidR="00DB0591">
        <w:t xml:space="preserve"> (whether real or imagined)</w:t>
      </w:r>
      <w:r w:rsidR="009B3520">
        <w:t xml:space="preserve"> led to an institutional change in the legal system. </w:t>
      </w:r>
      <w:r w:rsidR="00363AE4">
        <w:t xml:space="preserve">The new legal system now called for namely two </w:t>
      </w:r>
      <w:r w:rsidR="00CF5C57">
        <w:t>criteria</w:t>
      </w:r>
      <w:r w:rsidR="00363AE4">
        <w:t xml:space="preserve"> </w:t>
      </w:r>
      <w:r w:rsidR="00CF5C57">
        <w:t>to</w:t>
      </w:r>
      <w:r w:rsidR="00363AE4">
        <w:t xml:space="preserve"> persecute: two eye witnesses to the crime, or a personal confession from the accused. </w:t>
      </w:r>
      <w:r w:rsidR="005D259D">
        <w:t>U</w:t>
      </w:r>
      <w:r w:rsidR="00CF5C57">
        <w:t>sually, the lack of eyewitness testimony</w:t>
      </w:r>
      <w:r w:rsidR="005D259D">
        <w:t xml:space="preserve"> is positive when accused because it discredits the accuser. With witchcraft, however, most actions were invisible. For example, if a person got sick and blamed a witch, there </w:t>
      </w:r>
      <w:r w:rsidR="00B831C7">
        <w:t xml:space="preserve">could be no eyewitness since one cannot see a curse, although one may claim to hear a curse uttered. Hence, the </w:t>
      </w:r>
      <w:r w:rsidR="00B12F7A">
        <w:t xml:space="preserve">crux of the verdict lay with the confession. </w:t>
      </w:r>
      <w:r w:rsidR="003270E5">
        <w:t xml:space="preserve">The </w:t>
      </w:r>
      <w:r w:rsidR="00EB5D34">
        <w:t>“</w:t>
      </w:r>
      <w:r w:rsidR="00B40205">
        <w:t>hostility</w:t>
      </w:r>
      <w:r w:rsidR="00EB5D34">
        <w:t xml:space="preserve">” </w:t>
      </w:r>
      <w:r w:rsidR="00CF5C57">
        <w:t xml:space="preserve">component </w:t>
      </w:r>
      <w:r w:rsidR="00B40205">
        <w:t>Goode and Ben-</w:t>
      </w:r>
      <w:proofErr w:type="spellStart"/>
      <w:r w:rsidR="00B40205">
        <w:t>Yehuda</w:t>
      </w:r>
      <w:proofErr w:type="spellEnd"/>
      <w:r w:rsidR="00B40205">
        <w:t xml:space="preserve"> refer </w:t>
      </w:r>
      <w:r w:rsidR="0074698B">
        <w:t>to can be</w:t>
      </w:r>
      <w:r w:rsidR="00EB5D34">
        <w:t xml:space="preserve"> seen in attempts to extract confessions from accused witches.</w:t>
      </w:r>
      <w:r w:rsidR="00CF5C57">
        <w:t xml:space="preserve"> Accused witches were, of course, hesitant to confess to crimes they did not commit. With few eyewitnesses and no confession, a case would normally be dismissed. But the overwhelming panic about witches within the community led prosecutors to extreme means to determine who were witches. They developed extensive, horrendous means of torture to persuade confession</w:t>
      </w:r>
      <w:r w:rsidR="009E1E44">
        <w:t xml:space="preserve"> and to encourage accused witches to name their conspirators. Once an accused witch confessed, which most did given the extreme torture, </w:t>
      </w:r>
      <w:r w:rsidR="00B316A7">
        <w:t xml:space="preserve">they were burned. Burning a witch could alleviate some panic within the community, but using </w:t>
      </w:r>
      <w:r w:rsidR="009E1E44">
        <w:t xml:space="preserve">torture to extract confessions confirmed that witches existed and were prevalent, thus perpetuating the accusations.   </w:t>
      </w:r>
    </w:p>
    <w:p w:rsidR="00477BEF" w:rsidRDefault="00477BEF" w:rsidP="00E15FC0">
      <w:pPr>
        <w:spacing w:line="480" w:lineRule="auto"/>
        <w:rPr>
          <w:b/>
        </w:rPr>
      </w:pPr>
    </w:p>
    <w:p w:rsidR="000A2E72" w:rsidRPr="00ED604D" w:rsidRDefault="00D94BCE" w:rsidP="00E15FC0">
      <w:pPr>
        <w:spacing w:line="480" w:lineRule="auto"/>
      </w:pPr>
      <w:r>
        <w:rPr>
          <w:i/>
        </w:rPr>
        <w:t>Maleficia and Diabolism</w:t>
      </w:r>
      <w:r w:rsidR="0022593B" w:rsidRPr="0022593B">
        <w:rPr>
          <w:i/>
        </w:rPr>
        <w:t>:</w:t>
      </w:r>
      <w:r w:rsidR="0022593B">
        <w:rPr>
          <w:b/>
        </w:rPr>
        <w:t xml:space="preserve"> </w:t>
      </w:r>
      <w:r w:rsidR="000329D0">
        <w:t>The ideas of “maleficia” and “diabolism” as they relate to the witches of early modern Euro</w:t>
      </w:r>
      <w:r w:rsidR="00651305">
        <w:t>pe are key to understanding the construction of the panic</w:t>
      </w:r>
      <w:r w:rsidR="000329D0">
        <w:t>.</w:t>
      </w:r>
      <w:r w:rsidR="00A37D76">
        <w:t xml:space="preserve"> </w:t>
      </w:r>
      <w:r w:rsidR="00EA59EE">
        <w:t xml:space="preserve">What makes the witch-hunts of early modern Europe a unique case study in moral panics is the duality of the panic itself. In the witch-hunts, we can actually observe two panics colliding. On one end, we have the panic of </w:t>
      </w:r>
      <w:r w:rsidR="00671958">
        <w:t>magical</w:t>
      </w:r>
      <w:r w:rsidR="00EA59EE">
        <w:t xml:space="preserve"> </w:t>
      </w:r>
      <w:r w:rsidR="00671958">
        <w:t>deeds</w:t>
      </w:r>
      <w:r w:rsidR="00AF515F">
        <w:t xml:space="preserve">. Additionally, we have </w:t>
      </w:r>
      <w:r w:rsidR="00EA59EE">
        <w:t xml:space="preserve">fear of the devil. </w:t>
      </w:r>
      <w:r w:rsidR="00A37D76">
        <w:t>At the height of the witch-hunt, the idea that witches were involved in diabolism, or consorting with the devil, was more prominent than the idea of witches as conjurers of maleficia, or evil deeds.</w:t>
      </w:r>
      <w:r w:rsidR="0054248B">
        <w:t xml:space="preserve"> </w:t>
      </w:r>
      <w:proofErr w:type="spellStart"/>
      <w:r w:rsidR="0054248B">
        <w:t>Levack</w:t>
      </w:r>
      <w:proofErr w:type="spellEnd"/>
      <w:r w:rsidR="0054248B">
        <w:t xml:space="preserve"> </w:t>
      </w:r>
      <w:r w:rsidR="00131B9D">
        <w:t>notes,</w:t>
      </w:r>
      <w:r w:rsidR="0054248B">
        <w:t xml:space="preserve"> </w:t>
      </w:r>
      <w:r w:rsidR="00131B9D">
        <w:t>“By the end of the sixteenth century most educated Europeans believed that witches, in addition to practicing harmful magic, engaged in a va</w:t>
      </w:r>
      <w:r w:rsidR="009764AE">
        <w:t>riety of diabolical activities” (</w:t>
      </w:r>
      <w:r w:rsidR="00131B9D">
        <w:t>27).</w:t>
      </w:r>
      <w:r w:rsidR="00460571">
        <w:t xml:space="preserve"> </w:t>
      </w:r>
      <w:r w:rsidR="007530A6">
        <w:t xml:space="preserve">As mentioned before, an elite or educated panic can lead to a more generalized or intense panic, so the linking of witches to the devil on this societal level is profound. </w:t>
      </w:r>
      <w:r w:rsidR="00BE4B8C">
        <w:t xml:space="preserve">This is the “consensus” part of moral panics, where the elite and the general public conclude that the witch is in league with the devil and the devil is to be feared. The diabolism link to witchcraft leads us to the “disproportionality” phase. </w:t>
      </w:r>
      <w:r w:rsidR="00474023">
        <w:t xml:space="preserve">Even though fear of maleficia might be considered irrational because evil deeds like casting curses does not exist, there is not a level of disproportionality because the consequences </w:t>
      </w:r>
      <w:r w:rsidR="00B33216">
        <w:rPr>
          <w:i/>
        </w:rPr>
        <w:t xml:space="preserve">do </w:t>
      </w:r>
      <w:r w:rsidR="00902992">
        <w:t>exist</w:t>
      </w:r>
      <w:r w:rsidR="00474023">
        <w:t xml:space="preserve">. </w:t>
      </w:r>
      <w:r w:rsidR="00ED604D">
        <w:t xml:space="preserve">The fact that witches did not cause the plague, for example, does not deny the existence of the tragedy. But panics cannot survive solely on objective problems like plagues; constructed elements must exist </w:t>
      </w:r>
      <w:r w:rsidR="00DE2988">
        <w:t>to create disproportionality</w:t>
      </w:r>
      <w:r w:rsidR="00ED604D">
        <w:t xml:space="preserve">. In fact, constructed problems do not </w:t>
      </w:r>
      <w:r w:rsidR="00DE2988">
        <w:t xml:space="preserve">even </w:t>
      </w:r>
      <w:r w:rsidR="00ED604D">
        <w:t>need real conditions to exi</w:t>
      </w:r>
      <w:r w:rsidR="00CE60E4">
        <w:t>st (Goode and Ben-</w:t>
      </w:r>
      <w:proofErr w:type="spellStart"/>
      <w:r w:rsidR="00CE60E4">
        <w:t>Yehuda</w:t>
      </w:r>
      <w:proofErr w:type="spellEnd"/>
      <w:r w:rsidR="00DE2988">
        <w:t xml:space="preserve"> 151)</w:t>
      </w:r>
      <w:r w:rsidR="00ED604D">
        <w:t xml:space="preserve">. </w:t>
      </w:r>
      <w:r w:rsidR="00DE2988">
        <w:t xml:space="preserve">During the witch panic, though, both an objective and constructed problem exist, heightening the panic even more. </w:t>
      </w:r>
      <w:r w:rsidR="00902992">
        <w:t xml:space="preserve">With diabolism, </w:t>
      </w:r>
      <w:r w:rsidR="00E84F5C">
        <w:t xml:space="preserve">the level of disproportionality </w:t>
      </w:r>
      <w:r w:rsidR="00DE2988">
        <w:t>rises</w:t>
      </w:r>
      <w:r w:rsidR="00E84F5C">
        <w:t xml:space="preserve"> because witches are accused not only of causing objective problems, like death, but of contracting with the devil, a constructed problem that</w:t>
      </w:r>
      <w:r w:rsidR="000F468D">
        <w:t>,</w:t>
      </w:r>
      <w:r w:rsidR="00E84F5C">
        <w:t xml:space="preserve"> in and of itself</w:t>
      </w:r>
      <w:r w:rsidR="000F468D">
        <w:t>,</w:t>
      </w:r>
      <w:r w:rsidR="00E84F5C">
        <w:t xml:space="preserve"> poses no concrete threat.</w:t>
      </w:r>
      <w:r w:rsidR="00ED604D">
        <w:t xml:space="preserve"> </w:t>
      </w:r>
      <w:r w:rsidR="00671958">
        <w:t xml:space="preserve">Linking the devil to an already established, albeit low intensity, fear of evil deeds, allowed society to condense two fears into one: fear of the witch. </w:t>
      </w:r>
    </w:p>
    <w:p w:rsidR="007D3C27" w:rsidRPr="00040BC7" w:rsidRDefault="00ED604D" w:rsidP="00E15FC0">
      <w:pPr>
        <w:widowControl w:val="0"/>
        <w:autoSpaceDE w:val="0"/>
        <w:autoSpaceDN w:val="0"/>
        <w:adjustRightInd w:val="0"/>
        <w:spacing w:line="480" w:lineRule="auto"/>
        <w:rPr>
          <w:rFonts w:ascii="Lucida Grande" w:hAnsi="Lucida Grande" w:cs="Lucida Grande"/>
          <w:color w:val="333333"/>
        </w:rPr>
      </w:pPr>
      <w:r>
        <w:tab/>
      </w:r>
      <w:r w:rsidR="000A2E72">
        <w:t xml:space="preserve">The presence of the devil was essential in </w:t>
      </w:r>
      <w:r w:rsidR="00AF515F">
        <w:t xml:space="preserve">linking women to witchcraft. It </w:t>
      </w:r>
      <w:r w:rsidR="000A2E72">
        <w:t xml:space="preserve">is not surprising, then, that the height of </w:t>
      </w:r>
      <w:r w:rsidR="00035AEB">
        <w:t>the witch-hunt coincided with an increased awa</w:t>
      </w:r>
      <w:r w:rsidR="00750E46">
        <w:t xml:space="preserve">reness of the devil’s presence in everyday life. The </w:t>
      </w:r>
      <w:r w:rsidR="00D56071">
        <w:t>16</w:t>
      </w:r>
      <w:r w:rsidR="00D56071" w:rsidRPr="00651E0B">
        <w:rPr>
          <w:vertAlign w:val="superscript"/>
        </w:rPr>
        <w:t>th</w:t>
      </w:r>
      <w:r w:rsidR="00D56071">
        <w:t xml:space="preserve"> century Protestant </w:t>
      </w:r>
      <w:r w:rsidR="00750E46">
        <w:t xml:space="preserve">Reformation period </w:t>
      </w:r>
      <w:r w:rsidR="00D56071">
        <w:t xml:space="preserve">emphasized the ubiquitous devil, which lead to more intense fear </w:t>
      </w:r>
      <w:r w:rsidR="009764AE">
        <w:t xml:space="preserve">of diabolical temptation </w:t>
      </w:r>
      <w:r w:rsidR="00D56071">
        <w:t>(</w:t>
      </w:r>
      <w:proofErr w:type="spellStart"/>
      <w:r w:rsidR="00D56071">
        <w:t>Levack</w:t>
      </w:r>
      <w:proofErr w:type="spellEnd"/>
      <w:r w:rsidR="009764AE">
        <w:t xml:space="preserve"> 104</w:t>
      </w:r>
      <w:r w:rsidR="00D56071">
        <w:t xml:space="preserve">). </w:t>
      </w:r>
      <w:r w:rsidR="00651E0B">
        <w:t xml:space="preserve">With the devil more prevalent, it was essential to lead a more rigorous moral life to avoid damnation. </w:t>
      </w:r>
      <w:r w:rsidR="009764AE">
        <w:t xml:space="preserve">The fear of divine retribution and demand for moral rigidity was emphasized and </w:t>
      </w:r>
      <w:r w:rsidR="009764AE" w:rsidRPr="00651E0B">
        <w:t xml:space="preserve">propagated by Protestant </w:t>
      </w:r>
      <w:r w:rsidR="00AF515F" w:rsidRPr="00651E0B">
        <w:t xml:space="preserve">leader </w:t>
      </w:r>
      <w:r w:rsidR="009764AE" w:rsidRPr="00651E0B">
        <w:t>Martin Luther’s Ninety-Five Theses</w:t>
      </w:r>
      <w:r w:rsidR="00AF515F" w:rsidRPr="00651E0B">
        <w:t xml:space="preserve">. The Theses </w:t>
      </w:r>
      <w:r w:rsidR="005F57F6" w:rsidRPr="00651E0B">
        <w:t>undermined the role of clergy and emphasized the direct relationship between man and God. Salvation lay in the hands of the individual and sin could not simply be forgiven by confession. Luther’s 23</w:t>
      </w:r>
      <w:r w:rsidR="005F57F6" w:rsidRPr="00651E0B">
        <w:rPr>
          <w:vertAlign w:val="superscript"/>
        </w:rPr>
        <w:t>rd</w:t>
      </w:r>
      <w:r w:rsidR="005F57F6" w:rsidRPr="00651E0B">
        <w:t xml:space="preserve"> thesis states, “</w:t>
      </w:r>
      <w:r w:rsidR="005F57F6" w:rsidRPr="00651E0B">
        <w:rPr>
          <w:rFonts w:cs="Lucida Grande"/>
        </w:rPr>
        <w:t>If any entire remission of all penalties can be granted to any one, it is certain that it is granted to none but the mos</w:t>
      </w:r>
      <w:r w:rsidR="00651E0B">
        <w:rPr>
          <w:rFonts w:cs="Lucida Grande"/>
        </w:rPr>
        <w:t xml:space="preserve">t perfect, that is, to very few”. Almost no one had all </w:t>
      </w:r>
      <w:r w:rsidR="00040BC7">
        <w:rPr>
          <w:rFonts w:cs="Lucida Grande"/>
        </w:rPr>
        <w:t>his or her</w:t>
      </w:r>
      <w:r w:rsidR="00651E0B">
        <w:rPr>
          <w:rFonts w:cs="Lucida Grande"/>
        </w:rPr>
        <w:t xml:space="preserve"> sins forgiven and</w:t>
      </w:r>
      <w:r w:rsidR="00040BC7">
        <w:rPr>
          <w:rFonts w:cs="Lucida Grande"/>
        </w:rPr>
        <w:t xml:space="preserve"> thus everyone had to adhere to a stricter moral code. </w:t>
      </w:r>
      <w:r w:rsidR="00611DA6">
        <w:t>However, with stricter m</w:t>
      </w:r>
      <w:r w:rsidR="00FC1907">
        <w:t>oral rules came</w:t>
      </w:r>
      <w:r w:rsidR="00611DA6">
        <w:t xml:space="preserve"> </w:t>
      </w:r>
      <w:r w:rsidR="005E77E0">
        <w:t>increased sense of personal guilt.</w:t>
      </w:r>
      <w:r w:rsidR="007D3C27">
        <w:t xml:space="preserve"> According to psychoanalytical theories, like those proposed by Sigmund Freud, extreme guilt can cause one to </w:t>
      </w:r>
      <w:r w:rsidR="007D3C27" w:rsidRPr="00651E0B">
        <w:rPr>
          <w:i/>
        </w:rPr>
        <w:t>project</w:t>
      </w:r>
      <w:r w:rsidR="007D3C27">
        <w:t xml:space="preserve"> that guilt </w:t>
      </w:r>
      <w:r w:rsidR="003E796D">
        <w:t xml:space="preserve">onto another person. </w:t>
      </w:r>
      <w:r w:rsidR="00AE14BA">
        <w:t xml:space="preserve">When pressures to act morally intensified, people were more likely to assuage their own guilt by blaming others for immoral deeds. </w:t>
      </w:r>
      <w:r w:rsidR="00FC1907">
        <w:t xml:space="preserve">The pressure put on people to avoid the devil through moral purity led to a heighted panic in which people were consciously accused of witchcraft for minor moral indiscretions and unconsciously accused through projection. </w:t>
      </w:r>
    </w:p>
    <w:p w:rsidR="00E632EF" w:rsidRDefault="00E632EF" w:rsidP="00E15FC0">
      <w:pPr>
        <w:spacing w:line="480" w:lineRule="auto"/>
        <w:rPr>
          <w:b/>
        </w:rPr>
      </w:pPr>
    </w:p>
    <w:p w:rsidR="0022593B" w:rsidRPr="0022593B" w:rsidRDefault="0022593B" w:rsidP="00E15FC0">
      <w:pPr>
        <w:spacing w:line="480" w:lineRule="auto"/>
        <w:rPr>
          <w:b/>
        </w:rPr>
      </w:pPr>
      <w:r w:rsidRPr="0022593B">
        <w:t>“US” vs. “THEM”</w:t>
      </w:r>
    </w:p>
    <w:p w:rsidR="00873C48" w:rsidRPr="0022593B" w:rsidRDefault="00D14FFD" w:rsidP="00E15FC0">
      <w:pPr>
        <w:spacing w:line="480" w:lineRule="auto"/>
        <w:rPr>
          <w:b/>
        </w:rPr>
      </w:pPr>
      <w:r>
        <w:t xml:space="preserve">A growing concern about the rise in crime and presence of the devil is what </w:t>
      </w:r>
      <w:r w:rsidR="009644E9">
        <w:t>drove</w:t>
      </w:r>
      <w:r>
        <w:t xml:space="preserve"> communities to </w:t>
      </w:r>
      <w:r w:rsidR="00285D5A">
        <w:t>be hostile</w:t>
      </w:r>
      <w:r w:rsidR="00467FB7">
        <w:t xml:space="preserve"> toward the “other”</w:t>
      </w:r>
      <w:r>
        <w:t>. But what determines who is “</w:t>
      </w:r>
      <w:proofErr w:type="gramStart"/>
      <w:r>
        <w:t>us</w:t>
      </w:r>
      <w:proofErr w:type="gramEnd"/>
      <w:r>
        <w:t xml:space="preserve">” and who is “them”? </w:t>
      </w:r>
      <w:r w:rsidR="008B75AD">
        <w:t xml:space="preserve">According to moral panic research Chas </w:t>
      </w:r>
      <w:proofErr w:type="spellStart"/>
      <w:r w:rsidR="008B75AD">
        <w:t>Critcher</w:t>
      </w:r>
      <w:proofErr w:type="spellEnd"/>
      <w:r w:rsidR="008B75AD">
        <w:t xml:space="preserve">, </w:t>
      </w:r>
      <w:r w:rsidR="000670DC">
        <w:t xml:space="preserve">“A major consequence of the culture of fear is hostility towards those defined as deviants.” and </w:t>
      </w:r>
      <w:r w:rsidR="008B75AD">
        <w:t>“</w:t>
      </w:r>
      <w:r w:rsidR="000670DC">
        <w:t>T</w:t>
      </w:r>
      <w:r w:rsidR="008B75AD">
        <w:t xml:space="preserve">he deviant other is constructed as threatening the innocent </w:t>
      </w:r>
      <w:r w:rsidR="003C6D79">
        <w:t xml:space="preserve">in </w:t>
      </w:r>
      <w:r w:rsidR="008B75AD">
        <w:t>ways which suppress quest</w:t>
      </w:r>
      <w:r w:rsidR="009764AE">
        <w:t>ions of power.” (</w:t>
      </w:r>
      <w:r w:rsidR="008B75AD">
        <w:t xml:space="preserve">271). </w:t>
      </w:r>
      <w:r w:rsidR="003B63F2">
        <w:t xml:space="preserve">Thus, the deviant other cannot be one in power, but has to </w:t>
      </w:r>
      <w:r w:rsidR="002A35E4">
        <w:t>reside in the margins of society</w:t>
      </w:r>
      <w:r w:rsidR="00473FC3">
        <w:t xml:space="preserve"> and threaten the established power</w:t>
      </w:r>
      <w:r w:rsidR="002A35E4">
        <w:t>.</w:t>
      </w:r>
      <w:r w:rsidR="002867C1">
        <w:t xml:space="preserve"> </w:t>
      </w:r>
      <w:r w:rsidR="001C15ED">
        <w:t>Goode and Ben-</w:t>
      </w:r>
      <w:proofErr w:type="spellStart"/>
      <w:r w:rsidR="001C15ED">
        <w:t>Yehuda</w:t>
      </w:r>
      <w:proofErr w:type="spellEnd"/>
      <w:r w:rsidR="001C15ED">
        <w:t xml:space="preserve"> observe, “historical episodes represent explosions of fear and concern at a particular time and place about a specific perceived threat. In each case, a specific agent was widely felt to be responsible for the th</w:t>
      </w:r>
      <w:r w:rsidR="009764AE">
        <w:t>reat” (</w:t>
      </w:r>
      <w:r w:rsidR="001C15ED">
        <w:t xml:space="preserve">150). </w:t>
      </w:r>
      <w:r w:rsidR="00473FC3">
        <w:t>We are not dealing with just a general deviance in society but with a specific deviant that poses a specific threat</w:t>
      </w:r>
      <w:r w:rsidR="00873C48">
        <w:t xml:space="preserve"> during a specific time period</w:t>
      </w:r>
      <w:r w:rsidR="00473FC3">
        <w:t>.</w:t>
      </w:r>
      <w:r w:rsidR="00873C48">
        <w:t xml:space="preserve"> </w:t>
      </w:r>
    </w:p>
    <w:p w:rsidR="00873C48" w:rsidRDefault="00477BEF" w:rsidP="00E15FC0">
      <w:pPr>
        <w:spacing w:line="480" w:lineRule="auto"/>
      </w:pPr>
      <w:r>
        <w:tab/>
      </w:r>
      <w:r w:rsidR="00DB027B">
        <w:t xml:space="preserve">During the height of the witch-hunts, the characteristics of those residing in the margins of society directly reflects the characteristics of those executed for being witches. Between 75-90% of executed witches were women, and most were over 50 and either </w:t>
      </w:r>
      <w:r w:rsidR="00CE60E4">
        <w:t>unmarried or widowed (</w:t>
      </w:r>
      <w:proofErr w:type="spellStart"/>
      <w:r w:rsidR="00CE60E4">
        <w:t>Levack</w:t>
      </w:r>
      <w:proofErr w:type="spellEnd"/>
      <w:r w:rsidR="00DB027B">
        <w:t xml:space="preserve"> 133-156). </w:t>
      </w:r>
      <w:r w:rsidR="005361E9">
        <w:t>Like the witch prob</w:t>
      </w:r>
      <w:r w:rsidR="00F11552">
        <w:t xml:space="preserve">lem was constructed, so was a vision of the </w:t>
      </w:r>
      <w:r w:rsidR="005361E9">
        <w:t xml:space="preserve">“other”. </w:t>
      </w:r>
      <w:r w:rsidR="001932A2">
        <w:t xml:space="preserve">The threat </w:t>
      </w:r>
      <w:r w:rsidR="00992152">
        <w:t>women</w:t>
      </w:r>
      <w:r w:rsidR="00F11552">
        <w:t xml:space="preserve"> posed was</w:t>
      </w:r>
      <w:r w:rsidR="001932A2">
        <w:t xml:space="preserve"> not an objective, real threat to societal </w:t>
      </w:r>
      <w:r w:rsidR="00B431CC">
        <w:t>well</w:t>
      </w:r>
      <w:r w:rsidR="006C6A0B">
        <w:t>being</w:t>
      </w:r>
      <w:r w:rsidR="001932A2">
        <w:t xml:space="preserve">; </w:t>
      </w:r>
      <w:r w:rsidR="007B6DFF">
        <w:t xml:space="preserve">rather </w:t>
      </w:r>
      <w:r w:rsidR="00F11552">
        <w:t>it was</w:t>
      </w:r>
      <w:r w:rsidR="001932A2">
        <w:t xml:space="preserve"> an imagined reaction to the threat of social change.</w:t>
      </w:r>
      <w:r w:rsidR="009A09AF">
        <w:t xml:space="preserve"> We can see a similar concept in Freud’s idea of latent versus manifest content </w:t>
      </w:r>
      <w:r w:rsidR="007B6DFF">
        <w:t>in dream theory</w:t>
      </w:r>
      <w:r w:rsidR="009A09AF">
        <w:t>. Freud understands dreams to be the manifest</w:t>
      </w:r>
      <w:r w:rsidR="001932A2">
        <w:t xml:space="preserve"> </w:t>
      </w:r>
      <w:r w:rsidR="009A09AF">
        <w:t>content through which our latent desires or fears</w:t>
      </w:r>
      <w:r w:rsidR="00CE60E4">
        <w:t xml:space="preserve"> materialize (</w:t>
      </w:r>
      <w:proofErr w:type="spellStart"/>
      <w:r w:rsidR="00CE60E4">
        <w:t>Appignanesi</w:t>
      </w:r>
      <w:proofErr w:type="spellEnd"/>
      <w:r w:rsidR="009764AE">
        <w:t xml:space="preserve"> </w:t>
      </w:r>
      <w:r w:rsidR="009A09AF">
        <w:t xml:space="preserve">64). Likewise, the perception of the witch as a devil-worshiper and a </w:t>
      </w:r>
      <w:r w:rsidR="00A25E4F">
        <w:t>woman</w:t>
      </w:r>
      <w:r w:rsidR="00F11552">
        <w:t xml:space="preserve"> was</w:t>
      </w:r>
      <w:r w:rsidR="009A09AF">
        <w:t xml:space="preserve"> a manifestation of the hidden societal fears regarding the devil and female sexuality.</w:t>
      </w:r>
      <w:r w:rsidR="00EA59EE">
        <w:t xml:space="preserve"> </w:t>
      </w:r>
      <w:r w:rsidR="004D4059">
        <w:t>Like</w:t>
      </w:r>
      <w:r w:rsidR="00E70F8C">
        <w:t xml:space="preserve"> </w:t>
      </w:r>
      <w:r w:rsidR="004D4059">
        <w:t xml:space="preserve">maleficia and diabolism were linked, so too were the devil and women. </w:t>
      </w:r>
    </w:p>
    <w:p w:rsidR="00997F43" w:rsidRDefault="00477BEF" w:rsidP="00E15FC0">
      <w:pPr>
        <w:spacing w:line="480" w:lineRule="auto"/>
      </w:pPr>
      <w:r>
        <w:tab/>
      </w:r>
      <w:r w:rsidR="000A2ACC">
        <w:t xml:space="preserve">Linking </w:t>
      </w:r>
      <w:r w:rsidR="00D42E3A">
        <w:t>the devil to women was</w:t>
      </w:r>
      <w:r w:rsidR="00671958">
        <w:t xml:space="preserve"> easy </w:t>
      </w:r>
      <w:r w:rsidR="00972231">
        <w:t>because female</w:t>
      </w:r>
      <w:r w:rsidR="00BE15D6">
        <w:t>s have a history of involvement</w:t>
      </w:r>
      <w:r w:rsidR="00972231">
        <w:t xml:space="preserve"> with the devil. The m</w:t>
      </w:r>
      <w:r w:rsidR="00BE15D6">
        <w:t xml:space="preserve">ost prominent story is </w:t>
      </w:r>
      <w:r w:rsidR="00D42E3A">
        <w:t>recounted in Genesis where a serpent</w:t>
      </w:r>
      <w:r w:rsidR="00BE15D6">
        <w:t xml:space="preserve"> </w:t>
      </w:r>
      <w:r w:rsidR="00D42E3A">
        <w:t>persuades</w:t>
      </w:r>
      <w:r w:rsidR="00BE15D6">
        <w:t xml:space="preserve"> </w:t>
      </w:r>
      <w:r w:rsidR="00D42E3A">
        <w:t>Eve</w:t>
      </w:r>
      <w:r w:rsidR="00BE15D6">
        <w:t xml:space="preserve"> to disobey God and eat from the forbidden tree. The fact that the serpent is never explicitly referred to as the devil hardly matters. What matters is that by disobeying God and causing humankind to fall from His grace, Eve gave the devil power to exist. </w:t>
      </w:r>
      <w:r w:rsidR="00D6670C">
        <w:t xml:space="preserve">Eve’s weak nature allowed </w:t>
      </w:r>
      <w:r w:rsidR="00D42E3A">
        <w:t>her to be easily</w:t>
      </w:r>
      <w:r w:rsidR="00D6670C">
        <w:t xml:space="preserve"> tempted into disobeying God, proving that women in general could </w:t>
      </w:r>
      <w:r w:rsidR="009A5007">
        <w:t xml:space="preserve">easily </w:t>
      </w:r>
      <w:r w:rsidR="00D6670C">
        <w:t xml:space="preserve">be </w:t>
      </w:r>
      <w:r w:rsidR="009A5007">
        <w:t>coerced into making contracts with the devil.</w:t>
      </w:r>
    </w:p>
    <w:p w:rsidR="00150235" w:rsidRDefault="00477BEF" w:rsidP="00E15FC0">
      <w:pPr>
        <w:spacing w:line="480" w:lineRule="auto"/>
      </w:pPr>
      <w:r>
        <w:tab/>
      </w:r>
      <w:r w:rsidR="00E70F8C">
        <w:t xml:space="preserve">Witches were not only women, </w:t>
      </w:r>
      <w:proofErr w:type="gramStart"/>
      <w:r w:rsidR="00E70F8C">
        <w:t>but</w:t>
      </w:r>
      <w:proofErr w:type="gramEnd"/>
      <w:r w:rsidR="00E70F8C">
        <w:t xml:space="preserve"> usually older, single women because that demographic</w:t>
      </w:r>
      <w:r w:rsidR="00AA5A2A">
        <w:t xml:space="preserve"> represent</w:t>
      </w:r>
      <w:r w:rsidR="00150235">
        <w:t>ed</w:t>
      </w:r>
      <w:r w:rsidR="00AA5A2A">
        <w:t xml:space="preserve"> an intensified personification of fear regarding women. Older women were past childbearing age and sexually more mature than most. For younger men, and perhaps men in general, this posed a threat to power. While older women could be physically weaker, they no longer had the childbirth or menstruation weaknesses imposed on them by God at the </w:t>
      </w:r>
      <w:proofErr w:type="gramStart"/>
      <w:r w:rsidR="00AA5A2A">
        <w:t>Fall</w:t>
      </w:r>
      <w:proofErr w:type="gramEnd"/>
      <w:r w:rsidR="00AA5A2A">
        <w:t xml:space="preserve">. Freed from these </w:t>
      </w:r>
      <w:r w:rsidR="00E55022">
        <w:t xml:space="preserve">perceived </w:t>
      </w:r>
      <w:r w:rsidR="00AA5A2A">
        <w:t xml:space="preserve">weaknesses, </w:t>
      </w:r>
      <w:r w:rsidR="00B15A8C">
        <w:t>older women</w:t>
      </w:r>
      <w:r w:rsidR="00E55022">
        <w:t xml:space="preserve"> now </w:t>
      </w:r>
      <w:r w:rsidR="00B15A8C">
        <w:t>posed a threat to social order; that is,</w:t>
      </w:r>
      <w:r w:rsidR="00E55022">
        <w:t xml:space="preserve"> they posed a threat to males.</w:t>
      </w:r>
      <w:r w:rsidR="00BA6ADA">
        <w:t xml:space="preserve"> </w:t>
      </w:r>
      <w:r w:rsidR="00B15A8C">
        <w:t xml:space="preserve">Single women too posed a threat to an established male-dominant </w:t>
      </w:r>
      <w:r w:rsidR="00150235">
        <w:t>society. Single women were not weakened by childcare</w:t>
      </w:r>
      <w:r w:rsidR="00B15A8C">
        <w:t xml:space="preserve">, nor were they under the direct rule of a husband or father figure. </w:t>
      </w:r>
      <w:r w:rsidR="00ED4A0A">
        <w:t xml:space="preserve">Still another characteristic of witches was their unacceptable personality. Witches were crude, quarrelsome women </w:t>
      </w:r>
      <w:r w:rsidR="0077607B">
        <w:t>who</w:t>
      </w:r>
      <w:r w:rsidR="00ED4A0A">
        <w:t xml:space="preserve"> </w:t>
      </w:r>
      <w:r w:rsidR="00F660C3">
        <w:t>rejected</w:t>
      </w:r>
      <w:r w:rsidR="00ED4A0A">
        <w:t xml:space="preserve"> </w:t>
      </w:r>
      <w:r w:rsidR="00F660C3">
        <w:t>ladylike mannerisms. Some of the older women probably exhibited signs of senility as well.</w:t>
      </w:r>
      <w:r w:rsidR="00150235">
        <w:t xml:space="preserve"> </w:t>
      </w:r>
    </w:p>
    <w:p w:rsidR="00D6670C" w:rsidRDefault="00150235" w:rsidP="00E15FC0">
      <w:pPr>
        <w:spacing w:line="480" w:lineRule="auto"/>
      </w:pPr>
      <w:r>
        <w:tab/>
      </w:r>
      <w:r w:rsidR="00E70F8C">
        <w:t xml:space="preserve">Women were targeted as witches because it was convenient. They were chosen because their powerful sexuality already posed a threat; a threat that was only pacified by perceived weaknesses. Thus, women who challenged the weak female norm posed even more of a threat. By making a deviant of already marginalized women, the witch </w:t>
      </w:r>
      <w:r w:rsidR="009E0F1D">
        <w:t xml:space="preserve">could now embody </w:t>
      </w:r>
      <w:r w:rsidR="00E70F8C">
        <w:t xml:space="preserve">fear of evil or unexplained deeds, fear of the devil, and fear of female sexuality. What were previously three social anxieties could now be resolved by destroying one thing: the female witch.  </w:t>
      </w:r>
    </w:p>
    <w:p w:rsidR="00997F43" w:rsidRDefault="00997F43" w:rsidP="00E15FC0">
      <w:pPr>
        <w:spacing w:line="480" w:lineRule="auto"/>
      </w:pPr>
    </w:p>
    <w:p w:rsidR="0022593B" w:rsidRPr="0022593B" w:rsidRDefault="0022593B" w:rsidP="00E15FC0">
      <w:pPr>
        <w:spacing w:line="480" w:lineRule="auto"/>
      </w:pPr>
      <w:r w:rsidRPr="0022593B">
        <w:t>MEDIA</w:t>
      </w:r>
    </w:p>
    <w:p w:rsidR="00171AA1" w:rsidRPr="0022593B" w:rsidRDefault="00997F43" w:rsidP="00E15FC0">
      <w:pPr>
        <w:spacing w:line="480" w:lineRule="auto"/>
        <w:rPr>
          <w:i/>
        </w:rPr>
      </w:pPr>
      <w:r>
        <w:t xml:space="preserve">The </w:t>
      </w:r>
      <w:r w:rsidR="00CC494A">
        <w:t>linking</w:t>
      </w:r>
      <w:r>
        <w:t xml:space="preserve"> of women </w:t>
      </w:r>
      <w:r w:rsidR="00CC494A">
        <w:t>and</w:t>
      </w:r>
      <w:r>
        <w:t xml:space="preserve"> witches </w:t>
      </w:r>
      <w:r w:rsidR="00CC494A">
        <w:t>may have originated in deep-seeded beliefs about female sexuality, but the idea was exacerbated by more conscious means; namely, media</w:t>
      </w:r>
      <w:r w:rsidR="009764AE">
        <w:t xml:space="preserve">. </w:t>
      </w:r>
      <w:r w:rsidR="00FE5B80">
        <w:t xml:space="preserve">Cohen </w:t>
      </w:r>
      <w:r w:rsidR="00231FFD">
        <w:t>emphasizes the role of media in moral panics</w:t>
      </w:r>
      <w:r w:rsidR="00CC494A">
        <w:t xml:space="preserve"> and</w:t>
      </w:r>
      <w:r w:rsidR="00FE5B80">
        <w:t xml:space="preserve"> </w:t>
      </w:r>
      <w:r w:rsidR="00231FFD">
        <w:t>suggests that media can be involved in “setting the agenda”, “transmitting the image”, and/or “breaking the silence,</w:t>
      </w:r>
      <w:r w:rsidR="009764AE">
        <w:t xml:space="preserve"> making the claim” (</w:t>
      </w:r>
      <w:r w:rsidR="00231FFD">
        <w:t xml:space="preserve">xxiv). </w:t>
      </w:r>
      <w:r w:rsidR="00C87557">
        <w:t xml:space="preserve">Cohen’s realization is notable </w:t>
      </w:r>
      <w:r w:rsidR="00E34FCA">
        <w:t xml:space="preserve">both in the 1960s and 1970s (when Cohen wrote about moral panics) and </w:t>
      </w:r>
      <w:r w:rsidR="00C87557">
        <w:t xml:space="preserve">in </w:t>
      </w:r>
      <w:r w:rsidR="001674EC">
        <w:t>16</w:t>
      </w:r>
      <w:r w:rsidR="00C87557" w:rsidRPr="00C87557">
        <w:rPr>
          <w:vertAlign w:val="superscript"/>
        </w:rPr>
        <w:t>th</w:t>
      </w:r>
      <w:r w:rsidR="00C87557">
        <w:t>/</w:t>
      </w:r>
      <w:r w:rsidR="001674EC">
        <w:t>17</w:t>
      </w:r>
      <w:r w:rsidR="00C87557" w:rsidRPr="00C87557">
        <w:rPr>
          <w:vertAlign w:val="superscript"/>
        </w:rPr>
        <w:t>th</w:t>
      </w:r>
      <w:r w:rsidR="00C87557">
        <w:t xml:space="preserve"> century Europe. </w:t>
      </w:r>
      <w:r w:rsidR="001873AC">
        <w:t>Of course what</w:t>
      </w:r>
      <w:r w:rsidR="00127F19">
        <w:t xml:space="preserve"> we </w:t>
      </w:r>
      <w:r w:rsidR="001873AC">
        <w:t>consider</w:t>
      </w:r>
      <w:r w:rsidR="00127F19">
        <w:t xml:space="preserve"> media today is very different than the limited media o</w:t>
      </w:r>
      <w:r w:rsidR="001873AC">
        <w:t xml:space="preserve">f early modern Europe. </w:t>
      </w:r>
      <w:r w:rsidR="00171AA1">
        <w:t xml:space="preserve">Still, literature like the </w:t>
      </w:r>
      <w:r w:rsidR="00171AA1">
        <w:rPr>
          <w:i/>
        </w:rPr>
        <w:t>Malleus Maleficarum</w:t>
      </w:r>
      <w:r w:rsidR="00282629">
        <w:t xml:space="preserve"> catalyzed and perpetuated an</w:t>
      </w:r>
      <w:r w:rsidR="00171AA1">
        <w:t xml:space="preserve"> already growing panic, allowing media to take part in all three of Cohen’s roles. </w:t>
      </w:r>
    </w:p>
    <w:p w:rsidR="00B84FD2" w:rsidRPr="00B84FD2" w:rsidRDefault="00477BEF" w:rsidP="00E15FC0">
      <w:pPr>
        <w:spacing w:line="480" w:lineRule="auto"/>
      </w:pPr>
      <w:r>
        <w:tab/>
      </w:r>
      <w:r w:rsidR="00501BDF">
        <w:t xml:space="preserve">The </w:t>
      </w:r>
      <w:r w:rsidR="00501BDF">
        <w:rPr>
          <w:i/>
        </w:rPr>
        <w:t>Malleus Maleficarum</w:t>
      </w:r>
      <w:r w:rsidR="00501BDF">
        <w:t xml:space="preserve"> </w:t>
      </w:r>
      <w:r w:rsidR="00171AA1">
        <w:t xml:space="preserve">(Latin for “hammer of the witches”) </w:t>
      </w:r>
      <w:r w:rsidR="00501BDF">
        <w:t xml:space="preserve">was written by German Dominicans Heinrich </w:t>
      </w:r>
      <w:proofErr w:type="spellStart"/>
      <w:r w:rsidR="00501BDF">
        <w:t>Institoris</w:t>
      </w:r>
      <w:proofErr w:type="spellEnd"/>
      <w:r w:rsidR="00501BDF">
        <w:t xml:space="preserve"> and Jacob </w:t>
      </w:r>
      <w:proofErr w:type="spellStart"/>
      <w:r w:rsidR="00501BDF">
        <w:t>Sprenger</w:t>
      </w:r>
      <w:proofErr w:type="spellEnd"/>
      <w:r w:rsidR="00501BDF">
        <w:t xml:space="preserve"> and was published around 1500. </w:t>
      </w:r>
      <w:r w:rsidR="00F36F3C">
        <w:t>T</w:t>
      </w:r>
      <w:r w:rsidR="004E36E5">
        <w:t>hrough</w:t>
      </w:r>
      <w:r w:rsidR="004B5A34">
        <w:t xml:space="preserve"> it “witchcraft was elevated to a pivotal position in the struggle between man and the devil, and was given new responsibility for t</w:t>
      </w:r>
      <w:r w:rsidR="004E36E5">
        <w:t>he world’s ever-increasing ills</w:t>
      </w:r>
      <w:r w:rsidR="004B5A34">
        <w:t>”</w:t>
      </w:r>
      <w:r w:rsidR="004E36E5">
        <w:t xml:space="preserve"> </w:t>
      </w:r>
      <w:r w:rsidR="004B5A34">
        <w:t>(</w:t>
      </w:r>
      <w:proofErr w:type="spellStart"/>
      <w:r w:rsidR="004B5A34">
        <w:t>Broedel</w:t>
      </w:r>
      <w:proofErr w:type="spellEnd"/>
      <w:r w:rsidR="00CE60E4">
        <w:t xml:space="preserve"> </w:t>
      </w:r>
      <w:r w:rsidR="004E36E5">
        <w:t xml:space="preserve">19). The authors </w:t>
      </w:r>
      <w:r w:rsidR="00F36F3C">
        <w:t>s</w:t>
      </w:r>
      <w:r w:rsidR="004E36E5">
        <w:t xml:space="preserve">et the agenda by bringing to the forefront the fears regarding devils and witchcraft. The book then </w:t>
      </w:r>
      <w:r w:rsidR="00F36F3C">
        <w:t xml:space="preserve">transmitted the </w:t>
      </w:r>
      <w:r w:rsidR="00C82D7C">
        <w:t>idea</w:t>
      </w:r>
      <w:r w:rsidR="00F36F3C">
        <w:t xml:space="preserve"> </w:t>
      </w:r>
      <w:r w:rsidR="004E36E5">
        <w:t xml:space="preserve">by relaying personal experiences with witches or experiences of </w:t>
      </w:r>
      <w:r w:rsidR="00C82D7C">
        <w:t>“witnesses worthy of belief”</w:t>
      </w:r>
      <w:r w:rsidR="00CE60E4">
        <w:t xml:space="preserve"> (</w:t>
      </w:r>
      <w:proofErr w:type="spellStart"/>
      <w:r w:rsidR="00CE60E4">
        <w:t>Broedel</w:t>
      </w:r>
      <w:proofErr w:type="spellEnd"/>
      <w:r w:rsidR="00CE60E4">
        <w:t xml:space="preserve"> </w:t>
      </w:r>
      <w:r w:rsidR="004E36E5">
        <w:t xml:space="preserve">21). </w:t>
      </w:r>
      <w:r w:rsidR="00C82D7C">
        <w:t xml:space="preserve">However, personal experience, even when no objective evidence could exist, may be problematic. </w:t>
      </w:r>
      <w:r w:rsidR="009B15BB">
        <w:t xml:space="preserve">The success of the </w:t>
      </w:r>
      <w:r w:rsidR="009B15BB">
        <w:rPr>
          <w:i/>
        </w:rPr>
        <w:t>Malleus Maleficarum</w:t>
      </w:r>
      <w:r w:rsidR="009B15BB">
        <w:t xml:space="preserve"> relied heavily on the rhetorical skills of the authors and the extent of endorsers. </w:t>
      </w:r>
      <w:proofErr w:type="spellStart"/>
      <w:r w:rsidR="009B15BB">
        <w:t>Institoris</w:t>
      </w:r>
      <w:proofErr w:type="spellEnd"/>
      <w:r w:rsidR="009B15BB">
        <w:t xml:space="preserve"> and </w:t>
      </w:r>
      <w:proofErr w:type="spellStart"/>
      <w:r w:rsidR="009B15BB">
        <w:t>Sprenger</w:t>
      </w:r>
      <w:proofErr w:type="spellEnd"/>
      <w:r w:rsidR="009B15BB">
        <w:t xml:space="preserve"> pleaded with their audience to not question their findings since witchcraft was related moral issues and therefore there was “no need to insist upon varied arguments and exposition</w:t>
      </w:r>
      <w:r w:rsidR="00CE60E4">
        <w:t>s in everything” (</w:t>
      </w:r>
      <w:proofErr w:type="spellStart"/>
      <w:r w:rsidR="00CE60E4">
        <w:t>Broedel</w:t>
      </w:r>
      <w:proofErr w:type="spellEnd"/>
      <w:r w:rsidR="009764AE">
        <w:t xml:space="preserve"> </w:t>
      </w:r>
      <w:r w:rsidR="009B15BB">
        <w:t>20).</w:t>
      </w:r>
      <w:r w:rsidR="00D74A8E">
        <w:t xml:space="preserve"> With disclaimers such as this, the authors made denunciation impossible. Accepting their experiences and those of their informants as </w:t>
      </w:r>
      <w:proofErr w:type="gramStart"/>
      <w:r w:rsidR="00D74A8E">
        <w:t>real,</w:t>
      </w:r>
      <w:proofErr w:type="gramEnd"/>
      <w:r w:rsidR="00D74A8E">
        <w:t xml:space="preserve"> was to accept that witchcraft and diabolical pacts were real as well. </w:t>
      </w:r>
      <w:r w:rsidR="00B84FD2">
        <w:t xml:space="preserve">Even if people did have doubts as to the authors’ credibility, “the informed opinion of expert judges </w:t>
      </w:r>
      <w:proofErr w:type="gramStart"/>
      <w:r w:rsidR="00B84FD2">
        <w:t>serve(</w:t>
      </w:r>
      <w:proofErr w:type="gramEnd"/>
      <w:r w:rsidR="00B84FD2">
        <w:t>d) as a functional altern</w:t>
      </w:r>
      <w:r w:rsidR="00CE60E4">
        <w:t xml:space="preserve">ative” (Clarke and Chess </w:t>
      </w:r>
      <w:r w:rsidR="00B84FD2">
        <w:t xml:space="preserve">997). In this case, the most notable “judge” was Pope Innocent VII, who endorsed the </w:t>
      </w:r>
      <w:r w:rsidR="00B84FD2">
        <w:rPr>
          <w:i/>
        </w:rPr>
        <w:t>Malleus Maleficarum</w:t>
      </w:r>
      <w:r w:rsidR="00B84FD2">
        <w:t xml:space="preserve"> and validated the existence of witchcraft.</w:t>
      </w:r>
      <w:r w:rsidR="00EA00BC">
        <w:t xml:space="preserve"> </w:t>
      </w:r>
    </w:p>
    <w:p w:rsidR="00A350EA" w:rsidRDefault="009B15BB" w:rsidP="00E15FC0">
      <w:pPr>
        <w:spacing w:line="480" w:lineRule="auto"/>
      </w:pPr>
      <w:r>
        <w:t xml:space="preserve"> </w:t>
      </w:r>
      <w:r w:rsidR="00C82D7C">
        <w:t xml:space="preserve">  </w:t>
      </w:r>
      <w:r w:rsidR="00477BEF">
        <w:tab/>
      </w:r>
      <w:r w:rsidR="00F36F3C">
        <w:t xml:space="preserve">The Malleus </w:t>
      </w:r>
      <w:proofErr w:type="spellStart"/>
      <w:r w:rsidR="00F36F3C">
        <w:t>Maleficarum’s</w:t>
      </w:r>
      <w:proofErr w:type="spellEnd"/>
      <w:r w:rsidR="00F36F3C">
        <w:t xml:space="preserve"> goal was “to take the witch constructed by learned theologians, the witch of traditional legend, folktale, and rumor, and the old woman huddled before the inquisitor’s bench and to blend them into</w:t>
      </w:r>
      <w:r w:rsidR="00CE60E4">
        <w:t xml:space="preserve"> a single being” (</w:t>
      </w:r>
      <w:proofErr w:type="spellStart"/>
      <w:r w:rsidR="00CE60E4">
        <w:t>Broedel</w:t>
      </w:r>
      <w:proofErr w:type="spellEnd"/>
      <w:r w:rsidR="009764AE">
        <w:t xml:space="preserve"> </w:t>
      </w:r>
      <w:r w:rsidR="00F36F3C">
        <w:t>21). The success of this goal broke the silence and made the claim that witches</w:t>
      </w:r>
      <w:r w:rsidR="009C6A30">
        <w:t xml:space="preserve"> were in league with the devil and since only women could be in league with the devil, only women could be guilty of witchcraft.</w:t>
      </w:r>
    </w:p>
    <w:p w:rsidR="00A95DCB" w:rsidRDefault="00477BEF" w:rsidP="00E15FC0">
      <w:pPr>
        <w:spacing w:line="480" w:lineRule="auto"/>
      </w:pPr>
      <w:r>
        <w:tab/>
      </w:r>
      <w:r w:rsidR="00362D82">
        <w:t xml:space="preserve">Media like </w:t>
      </w:r>
      <w:r w:rsidR="00A350EA">
        <w:t xml:space="preserve">the </w:t>
      </w:r>
      <w:r w:rsidR="00A350EA">
        <w:rPr>
          <w:i/>
        </w:rPr>
        <w:t>Malleus Maleficarum</w:t>
      </w:r>
      <w:r w:rsidR="00362D82">
        <w:t xml:space="preserve"> </w:t>
      </w:r>
      <w:r w:rsidR="00A350EA">
        <w:t xml:space="preserve">acted </w:t>
      </w:r>
      <w:r w:rsidR="00171AA1">
        <w:t xml:space="preserve">as catalyses for moral panic. Not only the content of the media but the medium itself influenced spread of panic. </w:t>
      </w:r>
      <w:r w:rsidR="00362D82">
        <w:t xml:space="preserve">The invention of a new medium, the printing press, </w:t>
      </w:r>
      <w:r w:rsidR="00171AA1">
        <w:t xml:space="preserve">around 1435 played a large role in the spread of panic. </w:t>
      </w:r>
      <w:r w:rsidR="00362D82">
        <w:t>The printing press “added much to the cult of individualism. The private, fixed point of view became possible and literacy conferred the power of detachment, non-involv</w:t>
      </w:r>
      <w:r w:rsidR="00CE60E4">
        <w:t>ement” (McLuhan and Fiore</w:t>
      </w:r>
      <w:r w:rsidR="009764AE">
        <w:t xml:space="preserve"> </w:t>
      </w:r>
      <w:r w:rsidR="00362D82">
        <w:t xml:space="preserve">50). </w:t>
      </w:r>
      <w:r w:rsidR="007A663B">
        <w:t xml:space="preserve">Consequently, </w:t>
      </w:r>
      <w:proofErr w:type="spellStart"/>
      <w:r w:rsidR="007A663B">
        <w:t>Institoris</w:t>
      </w:r>
      <w:proofErr w:type="spellEnd"/>
      <w:r w:rsidR="007A663B">
        <w:t xml:space="preserve"> and </w:t>
      </w:r>
      <w:proofErr w:type="spellStart"/>
      <w:r w:rsidR="007A663B">
        <w:t>Sprenger’s</w:t>
      </w:r>
      <w:proofErr w:type="spellEnd"/>
      <w:r w:rsidR="007A663B">
        <w:t xml:space="preserve"> ideas were more accessible and referenced. </w:t>
      </w:r>
      <w:r w:rsidR="0071567C">
        <w:t xml:space="preserve">Similarly, during the Reformation, Protestant leader Martin Luther took advantage of the printing press to distribute his Ninety-Five Theses, which propelled the Protestant Reformation and contributed greatly to witch-hunting. Without the printing press, both the </w:t>
      </w:r>
      <w:r w:rsidR="0071567C">
        <w:rPr>
          <w:i/>
        </w:rPr>
        <w:t>Malleus Maleficarum</w:t>
      </w:r>
      <w:r w:rsidR="0071567C">
        <w:t xml:space="preserve"> and Luther’s Ninety-Five Theses would not have received the attention and credit they did. </w:t>
      </w:r>
      <w:r w:rsidR="00A95DCB">
        <w:t xml:space="preserve">It is just as important to analyze the </w:t>
      </w:r>
      <w:proofErr w:type="gramStart"/>
      <w:r w:rsidR="00A95DCB">
        <w:t>medium</w:t>
      </w:r>
      <w:proofErr w:type="gramEnd"/>
      <w:r w:rsidR="00A95DCB">
        <w:t xml:space="preserve"> as it is to analyze its content because the medium determines how the content will be distributed. The invention of the printing press gave power to those concerned with witches, women, and the devil and catalyzed that fear into a widespread moral panic.</w:t>
      </w:r>
    </w:p>
    <w:p w:rsidR="006420FB" w:rsidRDefault="006420FB" w:rsidP="00E15FC0">
      <w:pPr>
        <w:spacing w:line="480" w:lineRule="auto"/>
        <w:rPr>
          <w:b/>
        </w:rPr>
      </w:pPr>
    </w:p>
    <w:p w:rsidR="0022593B" w:rsidRDefault="0022593B" w:rsidP="00E15FC0">
      <w:pPr>
        <w:spacing w:line="480" w:lineRule="auto"/>
      </w:pPr>
      <w:r>
        <w:t>DECLINE</w:t>
      </w:r>
    </w:p>
    <w:p w:rsidR="008C69AA" w:rsidRPr="008C69AA" w:rsidRDefault="008F1F4B" w:rsidP="00E15FC0">
      <w:pPr>
        <w:spacing w:line="480" w:lineRule="auto"/>
      </w:pPr>
      <w:r w:rsidRPr="00506C5A">
        <w:t xml:space="preserve">Eventually all things come to an end. </w:t>
      </w:r>
      <w:r w:rsidR="008C69AA">
        <w:t xml:space="preserve">Since the rise of a moral panic begins with fear, anxiety, or concern about a real situation, that situation needs to be mollified before panic can subside. Many situations were present during the rise of the moral panic that gripped early modern Europe and we know that social hierarchy, legal systems, religion, and media all played a role in the rise and persistence of witch hunting. </w:t>
      </w:r>
      <w:r w:rsidRPr="00506C5A">
        <w:t xml:space="preserve">Interestingly, the same factors that led to the rise in the panic, </w:t>
      </w:r>
      <w:r w:rsidR="0070663A">
        <w:t>contributed</w:t>
      </w:r>
      <w:r w:rsidRPr="00506C5A">
        <w:t xml:space="preserve"> to </w:t>
      </w:r>
      <w:r w:rsidR="0070663A">
        <w:t>its</w:t>
      </w:r>
      <w:r w:rsidRPr="00506C5A">
        <w:t xml:space="preserve"> decline. </w:t>
      </w:r>
      <w:r w:rsidR="008C69AA">
        <w:t>This is important to note because it lets us focus on what factors contribute most to moral panics. We also know it was not just these facet</w:t>
      </w:r>
      <w:r w:rsidR="008C725C">
        <w:t>s</w:t>
      </w:r>
      <w:r w:rsidR="008C69AA">
        <w:t xml:space="preserve"> themselves but the </w:t>
      </w:r>
      <w:r w:rsidR="008C69AA">
        <w:rPr>
          <w:i/>
        </w:rPr>
        <w:t>changes</w:t>
      </w:r>
      <w:r w:rsidR="008C69AA">
        <w:t xml:space="preserve"> they underwent during that time period. Likewise, subsequent changes contributed to the witch-hunt decline. </w:t>
      </w:r>
    </w:p>
    <w:p w:rsidR="0043749F" w:rsidRDefault="00021BE7" w:rsidP="00E15FC0">
      <w:pPr>
        <w:spacing w:line="480" w:lineRule="auto"/>
      </w:pPr>
      <w:r>
        <w:tab/>
      </w:r>
      <w:r w:rsidR="008C69AA">
        <w:t xml:space="preserve">Socially, </w:t>
      </w:r>
      <w:r w:rsidR="00824EBC">
        <w:t xml:space="preserve">the hierarchal dichotomy was changing. </w:t>
      </w:r>
      <w:r>
        <w:t xml:space="preserve">The printing press encouraged literacy </w:t>
      </w:r>
      <w:r w:rsidR="005D19B1">
        <w:t xml:space="preserve">among those previously illiterate, narrowing the gap between educated and uneducated. </w:t>
      </w:r>
      <w:r w:rsidR="00D64E9D">
        <w:t xml:space="preserve">Media, in this instance, initially perpetuated the panic with documents like the </w:t>
      </w:r>
      <w:r w:rsidR="00D64E9D">
        <w:rPr>
          <w:i/>
        </w:rPr>
        <w:t>Malleus Maleficarum</w:t>
      </w:r>
      <w:r w:rsidR="00D64E9D">
        <w:t xml:space="preserve"> and Luther’s </w:t>
      </w:r>
      <w:r w:rsidR="00D64E9D">
        <w:rPr>
          <w:i/>
        </w:rPr>
        <w:t>Ninety-Five Theses</w:t>
      </w:r>
      <w:r w:rsidR="00D64E9D">
        <w:t xml:space="preserve">, but ultimately allowed more counterarguments to surface. </w:t>
      </w:r>
      <w:r w:rsidR="003A21C4">
        <w:t>Through the printing press, more people could share their views with the increasingly literate population and during the 16</w:t>
      </w:r>
      <w:r w:rsidR="003A21C4" w:rsidRPr="003A21C4">
        <w:rPr>
          <w:vertAlign w:val="superscript"/>
        </w:rPr>
        <w:t>th</w:t>
      </w:r>
      <w:r w:rsidR="003A21C4">
        <w:t>, 17</w:t>
      </w:r>
      <w:r w:rsidR="003A21C4" w:rsidRPr="00D64E9D">
        <w:rPr>
          <w:vertAlign w:val="superscript"/>
        </w:rPr>
        <w:t>th</w:t>
      </w:r>
      <w:r w:rsidR="003A21C4">
        <w:t xml:space="preserve"> and 18</w:t>
      </w:r>
      <w:r w:rsidR="003A21C4" w:rsidRPr="00D64E9D">
        <w:rPr>
          <w:vertAlign w:val="superscript"/>
        </w:rPr>
        <w:t>th</w:t>
      </w:r>
      <w:r w:rsidR="003A21C4">
        <w:t xml:space="preserve"> centuries, views that focused more</w:t>
      </w:r>
      <w:r w:rsidR="003A21C4" w:rsidRPr="00506C5A">
        <w:t xml:space="preserve"> on science </w:t>
      </w:r>
      <w:r w:rsidR="003A21C4">
        <w:t xml:space="preserve">and rationality challenged and even replaced those based on theology. Books by astronomers like Copernicus and physicists like Newton educated the masses and questioned what was formally taken as truth. </w:t>
      </w:r>
      <w:r w:rsidR="00A02A5C">
        <w:t>Events like the plague could be attributed to natural causes and were not so easily blamed on witches.</w:t>
      </w:r>
      <w:r w:rsidR="00772593">
        <w:t xml:space="preserve"> On a smaller scale, individual deaths of people and animals could be identified as the result of natural causes</w:t>
      </w:r>
      <w:r w:rsidR="0043749F">
        <w:t xml:space="preserve"> as well</w:t>
      </w:r>
      <w:r w:rsidR="00772593">
        <w:t>.</w:t>
      </w:r>
      <w:r w:rsidR="0043749F">
        <w:t xml:space="preserve"> Less witch accusations resulted from thi</w:t>
      </w:r>
      <w:r w:rsidR="00D64E9D">
        <w:t xml:space="preserve">s lesser need to place blame on </w:t>
      </w:r>
      <w:r w:rsidR="0043749F">
        <w:t xml:space="preserve">a particular person or type of persons. Accusation stemming from internal guilt also eventually decreased. As the height of the reformation declined </w:t>
      </w:r>
      <w:r w:rsidR="007E1BB7">
        <w:t xml:space="preserve">and focus turned to science, </w:t>
      </w:r>
      <w:r w:rsidR="0043749F">
        <w:t>the</w:t>
      </w:r>
      <w:r>
        <w:t xml:space="preserve"> pressure put on moral rigidity</w:t>
      </w:r>
      <w:r w:rsidR="007E1BB7">
        <w:t xml:space="preserve"> relaxed,</w:t>
      </w:r>
      <w:r w:rsidR="0043749F">
        <w:t xml:space="preserve"> which lowered the instance of projected accusation. </w:t>
      </w:r>
    </w:p>
    <w:p w:rsidR="002B2836" w:rsidRDefault="0043749F" w:rsidP="00E15FC0">
      <w:pPr>
        <w:spacing w:line="480" w:lineRule="auto"/>
      </w:pPr>
      <w:r>
        <w:tab/>
      </w:r>
      <w:r w:rsidR="008F1F4B" w:rsidRPr="00506C5A">
        <w:t xml:space="preserve">The legal system </w:t>
      </w:r>
      <w:r w:rsidR="00A973D7">
        <w:t>also</w:t>
      </w:r>
      <w:r w:rsidR="00D624AA">
        <w:t xml:space="preserve"> </w:t>
      </w:r>
      <w:r w:rsidR="008F1F4B" w:rsidRPr="00506C5A">
        <w:t xml:space="preserve">changed </w:t>
      </w:r>
      <w:r w:rsidR="004A0048">
        <w:t>slightly</w:t>
      </w:r>
      <w:r w:rsidR="008F1F4B" w:rsidRPr="00506C5A">
        <w:t xml:space="preserve"> when people realized that torture could produce false confessions.</w:t>
      </w:r>
      <w:r w:rsidR="00D624AA">
        <w:t xml:space="preserve"> This realization came mainly from uncovering</w:t>
      </w:r>
      <w:r w:rsidR="008F1F4B" w:rsidRPr="00506C5A">
        <w:t xml:space="preserve"> conscious fraud. </w:t>
      </w:r>
      <w:r w:rsidR="00A973D7">
        <w:t xml:space="preserve">In some cases, accusers were interrogated (though not tortured) when the wives and mothers of prominent men were accused of witchcraft. The interrogations </w:t>
      </w:r>
      <w:r w:rsidR="00367552">
        <w:t>sometimes</w:t>
      </w:r>
      <w:r w:rsidR="00A973D7">
        <w:t xml:space="preserve"> led to </w:t>
      </w:r>
      <w:r w:rsidR="00367552">
        <w:t>a confession</w:t>
      </w:r>
      <w:r w:rsidR="00A973D7">
        <w:t xml:space="preserve"> </w:t>
      </w:r>
      <w:r w:rsidR="00367552">
        <w:t xml:space="preserve">by the accuser where they admitted to falsely accusing a woman of witchcraft. These cases increased the need for conclusive evidence, which for witchcraft was hard to come by. </w:t>
      </w:r>
    </w:p>
    <w:p w:rsidR="00CB5DF7" w:rsidRDefault="00E23A98" w:rsidP="00E15FC0">
      <w:pPr>
        <w:spacing w:line="480" w:lineRule="auto"/>
      </w:pPr>
      <w:r>
        <w:rPr>
          <w:b/>
        </w:rPr>
        <w:tab/>
      </w:r>
      <w:r>
        <w:t xml:space="preserve">As we can see, a myriad of factors encouraged the decline </w:t>
      </w:r>
      <w:r w:rsidR="001B5392">
        <w:t>of witch-hunting much like they encouraged it previously. However, calming a panic does not mean solving the root of the problem. We need to remember that women were specifically targeted victims of this panic</w:t>
      </w:r>
      <w:r w:rsidR="00CB5DF7">
        <w:t>.</w:t>
      </w:r>
    </w:p>
    <w:p w:rsidR="006420FB" w:rsidRDefault="006420FB" w:rsidP="00E15FC0">
      <w:pPr>
        <w:spacing w:line="480" w:lineRule="auto"/>
        <w:rPr>
          <w:b/>
        </w:rPr>
      </w:pPr>
    </w:p>
    <w:p w:rsidR="0022593B" w:rsidRPr="0022593B" w:rsidRDefault="0022593B" w:rsidP="00E15FC0">
      <w:pPr>
        <w:spacing w:line="480" w:lineRule="auto"/>
        <w:rPr>
          <w:caps/>
        </w:rPr>
      </w:pPr>
      <w:r w:rsidRPr="0022593B">
        <w:rPr>
          <w:caps/>
        </w:rPr>
        <w:t>Practical Applications</w:t>
      </w:r>
    </w:p>
    <w:p w:rsidR="008B415D" w:rsidRDefault="001B5392" w:rsidP="00E15FC0">
      <w:pPr>
        <w:spacing w:line="480" w:lineRule="auto"/>
      </w:pPr>
      <w:r>
        <w:t xml:space="preserve">Now that we have analyzed the process a moral panic can and did take, we need to consider how it can apply to our current state. In early modern Europe, women were victims of the panic </w:t>
      </w:r>
      <w:r w:rsidR="00CB5DF7">
        <w:t>for reasons explained earlier. Who are the victims now? Many would argue, and I would agree, that women are still very much victims. Even in developed countries like the United States we see women both scrutinized and applauded for their sexuality.</w:t>
      </w:r>
      <w:r w:rsidR="00664324">
        <w:t xml:space="preserve"> But women are not the only victims. Homosexuals, transsexuals, and </w:t>
      </w:r>
      <w:proofErr w:type="spellStart"/>
      <w:r w:rsidR="00664324">
        <w:t>intersexed</w:t>
      </w:r>
      <w:proofErr w:type="spellEnd"/>
      <w:r w:rsidR="00664324">
        <w:t xml:space="preserve"> individuals </w:t>
      </w:r>
      <w:r w:rsidR="001077CC">
        <w:t>all face adversity based on s</w:t>
      </w:r>
      <w:r w:rsidR="00F81F5D">
        <w:t>exual or gender discrimination. A lot of this discrimination is justified by religion, as was t</w:t>
      </w:r>
      <w:r w:rsidR="008B415D">
        <w:t>he case in early modern Europe. Although it is not legal to burn people at the stake for being a witch, we still see hate crimes and legal prejudices against those who deviate from established, Christian norms.  We also experience m</w:t>
      </w:r>
      <w:r w:rsidR="001077CC">
        <w:t xml:space="preserve">oral panics about the spread of AIDS and presence of pedophiles </w:t>
      </w:r>
      <w:r w:rsidR="008B415D">
        <w:t xml:space="preserve">that </w:t>
      </w:r>
      <w:r w:rsidR="00F81F5D">
        <w:t>place blame on these</w:t>
      </w:r>
      <w:r w:rsidR="001077CC">
        <w:t xml:space="preserve"> currently marginalized </w:t>
      </w:r>
      <w:r w:rsidR="00F81F5D">
        <w:t xml:space="preserve">sexual scapegoats. When social or political problems can be blamed on a select group of people, that problem can be controlled more easily. </w:t>
      </w:r>
      <w:r w:rsidR="008B415D">
        <w:t>It is no wonder, then, that we see the same groups of people blamed for multiple problems.</w:t>
      </w:r>
      <w:r w:rsidR="00237C34">
        <w:t xml:space="preserve"> But unlike the Europeans of the 16</w:t>
      </w:r>
      <w:r w:rsidR="00237C34" w:rsidRPr="00237C34">
        <w:rPr>
          <w:vertAlign w:val="superscript"/>
        </w:rPr>
        <w:t>th</w:t>
      </w:r>
      <w:r w:rsidR="00237C34">
        <w:t xml:space="preserve"> and 17</w:t>
      </w:r>
      <w:r w:rsidR="00237C34" w:rsidRPr="00237C34">
        <w:rPr>
          <w:vertAlign w:val="superscript"/>
        </w:rPr>
        <w:t>th</w:t>
      </w:r>
      <w:r w:rsidR="00237C34">
        <w:t xml:space="preserve"> century, we can </w:t>
      </w:r>
      <w:r w:rsidR="00392D25">
        <w:t xml:space="preserve">recognize that these moral panics are shaped by deeper conditions and are not real, objective threats. </w:t>
      </w:r>
      <w:r w:rsidR="009A0031">
        <w:t>We realize that panics occur during times where there is “a clash between mechanisms of control and the free expression and individual elaboration of sexuality”</w:t>
      </w:r>
      <w:r w:rsidR="00D55607">
        <w:t xml:space="preserve"> (</w:t>
      </w:r>
      <w:proofErr w:type="spellStart"/>
      <w:r w:rsidR="00D55607">
        <w:t>Herdt</w:t>
      </w:r>
      <w:proofErr w:type="spellEnd"/>
      <w:r w:rsidR="00D55607">
        <w:t xml:space="preserve"> 32). </w:t>
      </w:r>
      <w:r w:rsidR="00392D25">
        <w:t xml:space="preserve">Only once we realize that what we are panicking about today is really the manifestation of internal panics, we can stop directing the blame at </w:t>
      </w:r>
      <w:r w:rsidR="009A0031">
        <w:t xml:space="preserve">collective groups of people and work on solving real problems. </w:t>
      </w:r>
    </w:p>
    <w:p w:rsidR="0022593B" w:rsidRPr="00664324" w:rsidRDefault="0022593B" w:rsidP="00E15FC0">
      <w:pPr>
        <w:spacing w:line="480" w:lineRule="auto"/>
      </w:pPr>
    </w:p>
    <w:p w:rsidR="003F0834" w:rsidRDefault="003F0834" w:rsidP="00E15FC0">
      <w:pPr>
        <w:spacing w:line="480" w:lineRule="auto"/>
        <w:rPr>
          <w:caps/>
        </w:rPr>
      </w:pPr>
    </w:p>
    <w:p w:rsidR="003F0834" w:rsidRDefault="003F0834" w:rsidP="00E15FC0">
      <w:pPr>
        <w:spacing w:line="480" w:lineRule="auto"/>
        <w:rPr>
          <w:caps/>
        </w:rPr>
      </w:pPr>
    </w:p>
    <w:p w:rsidR="003F0834" w:rsidRDefault="003F0834" w:rsidP="00E15FC0">
      <w:pPr>
        <w:spacing w:line="480" w:lineRule="auto"/>
        <w:rPr>
          <w:caps/>
        </w:rPr>
      </w:pPr>
    </w:p>
    <w:p w:rsidR="003F0834" w:rsidRDefault="003F0834" w:rsidP="00E15FC0">
      <w:pPr>
        <w:spacing w:line="480" w:lineRule="auto"/>
        <w:rPr>
          <w:caps/>
        </w:rPr>
      </w:pPr>
    </w:p>
    <w:p w:rsidR="003F0834" w:rsidRDefault="003F0834" w:rsidP="00E15FC0">
      <w:pPr>
        <w:spacing w:line="480" w:lineRule="auto"/>
        <w:rPr>
          <w:caps/>
        </w:rPr>
      </w:pPr>
    </w:p>
    <w:p w:rsidR="003F0834" w:rsidRDefault="003F0834" w:rsidP="00E15FC0">
      <w:pPr>
        <w:spacing w:line="480" w:lineRule="auto"/>
        <w:rPr>
          <w:caps/>
        </w:rPr>
      </w:pPr>
    </w:p>
    <w:p w:rsidR="003F0834" w:rsidRDefault="003F0834" w:rsidP="00E15FC0">
      <w:pPr>
        <w:spacing w:line="480" w:lineRule="auto"/>
        <w:rPr>
          <w:caps/>
        </w:rPr>
      </w:pPr>
    </w:p>
    <w:p w:rsidR="003F0834" w:rsidRDefault="003F0834" w:rsidP="00E15FC0">
      <w:pPr>
        <w:spacing w:line="480" w:lineRule="auto"/>
        <w:rPr>
          <w:caps/>
        </w:rPr>
      </w:pPr>
    </w:p>
    <w:p w:rsidR="003F0834" w:rsidRDefault="003F0834" w:rsidP="00E15FC0">
      <w:pPr>
        <w:spacing w:line="480" w:lineRule="auto"/>
        <w:rPr>
          <w:caps/>
        </w:rPr>
      </w:pPr>
    </w:p>
    <w:p w:rsidR="003F0834" w:rsidRDefault="003F0834" w:rsidP="00E15FC0">
      <w:pPr>
        <w:spacing w:line="480" w:lineRule="auto"/>
        <w:rPr>
          <w:caps/>
        </w:rPr>
      </w:pPr>
    </w:p>
    <w:p w:rsidR="003F0834" w:rsidRDefault="003F0834" w:rsidP="00E15FC0">
      <w:pPr>
        <w:spacing w:line="480" w:lineRule="auto"/>
        <w:rPr>
          <w:caps/>
        </w:rPr>
      </w:pPr>
    </w:p>
    <w:p w:rsidR="003F0834" w:rsidRDefault="003F0834" w:rsidP="00E15FC0">
      <w:pPr>
        <w:spacing w:line="480" w:lineRule="auto"/>
        <w:rPr>
          <w:caps/>
        </w:rPr>
      </w:pPr>
    </w:p>
    <w:p w:rsidR="003F0834" w:rsidRDefault="003F0834" w:rsidP="00E15FC0">
      <w:pPr>
        <w:spacing w:line="480" w:lineRule="auto"/>
        <w:rPr>
          <w:caps/>
        </w:rPr>
      </w:pPr>
    </w:p>
    <w:p w:rsidR="003F0834" w:rsidRDefault="003F0834" w:rsidP="00E15FC0">
      <w:pPr>
        <w:spacing w:line="480" w:lineRule="auto"/>
        <w:rPr>
          <w:caps/>
        </w:rPr>
      </w:pPr>
    </w:p>
    <w:p w:rsidR="003F0834" w:rsidRDefault="003F0834" w:rsidP="00E15FC0">
      <w:pPr>
        <w:spacing w:line="480" w:lineRule="auto"/>
        <w:rPr>
          <w:caps/>
        </w:rPr>
      </w:pPr>
    </w:p>
    <w:p w:rsidR="003F0834" w:rsidRPr="0022593B" w:rsidRDefault="003F0834" w:rsidP="00E15FC0">
      <w:pPr>
        <w:spacing w:line="480" w:lineRule="auto"/>
        <w:rPr>
          <w:caps/>
        </w:rPr>
      </w:pPr>
      <w:r>
        <w:rPr>
          <w:caps/>
        </w:rPr>
        <w:br w:type="page"/>
      </w:r>
    </w:p>
    <w:sdt>
      <w:sdtPr>
        <w:rPr>
          <w:b w:val="0"/>
          <w:color w:val="auto"/>
        </w:rPr>
        <w:id w:val="349558334"/>
        <w:docPartObj>
          <w:docPartGallery w:val="Bibliographies"/>
          <w:docPartUnique/>
        </w:docPartObj>
      </w:sdtPr>
      <w:sdtEndPr>
        <w:rPr>
          <w:rFonts w:asciiTheme="minorHAnsi" w:eastAsiaTheme="minorHAnsi" w:hAnsiTheme="minorHAnsi" w:cstheme="minorBidi"/>
          <w:bCs w:val="0"/>
          <w:sz w:val="24"/>
          <w:szCs w:val="24"/>
          <w:lang w:bidi="ar-SA"/>
        </w:rPr>
      </w:sdtEndPr>
      <w:sdtContent>
        <w:p w:rsidR="003F0834" w:rsidRPr="003F0834" w:rsidRDefault="003F0834" w:rsidP="003F0834">
          <w:pPr>
            <w:pStyle w:val="Heading1"/>
            <w:spacing w:line="480" w:lineRule="auto"/>
            <w:jc w:val="center"/>
            <w:rPr>
              <w:b w:val="0"/>
              <w:color w:val="auto"/>
            </w:rPr>
          </w:pPr>
          <w:r w:rsidRPr="003F0834">
            <w:rPr>
              <w:b w:val="0"/>
              <w:color w:val="auto"/>
            </w:rPr>
            <w:t>Works Cited</w:t>
          </w:r>
        </w:p>
        <w:p w:rsidR="003F0834" w:rsidRDefault="003F0834" w:rsidP="003F0834">
          <w:pPr>
            <w:pStyle w:val="Bibliography"/>
            <w:spacing w:line="480" w:lineRule="auto"/>
            <w:rPr>
              <w:rFonts w:cs="Times New Roman"/>
              <w:noProof/>
            </w:rPr>
          </w:pPr>
          <w:r>
            <w:fldChar w:fldCharType="begin"/>
          </w:r>
          <w:r>
            <w:instrText xml:space="preserve"> BIBLIOGRAPHY </w:instrText>
          </w:r>
          <w:r>
            <w:fldChar w:fldCharType="separate"/>
          </w:r>
          <w:r>
            <w:rPr>
              <w:rFonts w:cs="Times New Roman"/>
              <w:noProof/>
            </w:rPr>
            <w:t xml:space="preserve">Appignanesi, Richard. </w:t>
          </w:r>
          <w:r w:rsidRPr="003F0834">
            <w:rPr>
              <w:rFonts w:cs="Times New Roman"/>
              <w:i/>
              <w:noProof/>
            </w:rPr>
            <w:t>Freud for Beginners</w:t>
          </w:r>
          <w:r>
            <w:rPr>
              <w:rFonts w:cs="Times New Roman"/>
              <w:noProof/>
            </w:rPr>
            <w:t>. Pantheon Books, 1979.</w:t>
          </w:r>
        </w:p>
        <w:p w:rsidR="003F0834" w:rsidRDefault="003F0834" w:rsidP="003F0834">
          <w:pPr>
            <w:pStyle w:val="Bibliography"/>
            <w:spacing w:line="480" w:lineRule="auto"/>
            <w:rPr>
              <w:rFonts w:cs="Times New Roman"/>
              <w:noProof/>
            </w:rPr>
          </w:pPr>
          <w:r>
            <w:rPr>
              <w:rFonts w:cs="Times New Roman"/>
              <w:noProof/>
            </w:rPr>
            <w:t xml:space="preserve">Broedel, Hans Peter. </w:t>
          </w:r>
          <w:r w:rsidRPr="003F0834">
            <w:rPr>
              <w:rFonts w:cs="Times New Roman"/>
              <w:i/>
              <w:noProof/>
            </w:rPr>
            <w:t>The Malleus Maleficarum and the Construction of Witchcraft.</w:t>
          </w:r>
          <w:r>
            <w:rPr>
              <w:rFonts w:cs="Times New Roman"/>
              <w:noProof/>
            </w:rPr>
            <w:t xml:space="preserve"> New York: </w:t>
          </w:r>
          <w:r>
            <w:rPr>
              <w:rFonts w:cs="Times New Roman"/>
              <w:noProof/>
            </w:rPr>
            <w:tab/>
            <w:t>Manchester University Press, 2003.</w:t>
          </w:r>
        </w:p>
        <w:p w:rsidR="003F0834" w:rsidRDefault="003F0834" w:rsidP="003F0834">
          <w:pPr>
            <w:pStyle w:val="Bibliography"/>
            <w:spacing w:line="480" w:lineRule="auto"/>
            <w:rPr>
              <w:rFonts w:cs="Times New Roman"/>
              <w:noProof/>
            </w:rPr>
          </w:pPr>
          <w:r>
            <w:rPr>
              <w:rFonts w:cs="Times New Roman"/>
              <w:noProof/>
            </w:rPr>
            <w:t xml:space="preserve">Clarke, Lee and Caron Chess. "Elites and Panic: More to Fear than Fear Itself." </w:t>
          </w:r>
          <w:r w:rsidRPr="003F0834">
            <w:rPr>
              <w:rFonts w:cs="Times New Roman"/>
              <w:i/>
              <w:noProof/>
            </w:rPr>
            <w:t xml:space="preserve">Social Forces </w:t>
          </w:r>
          <w:r>
            <w:rPr>
              <w:rFonts w:cs="Times New Roman"/>
              <w:noProof/>
            </w:rPr>
            <w:tab/>
            <w:t>87.2 (2008): 993-1014.</w:t>
          </w:r>
        </w:p>
        <w:p w:rsidR="003F0834" w:rsidRDefault="003F0834" w:rsidP="003F0834">
          <w:pPr>
            <w:pStyle w:val="Bibliography"/>
            <w:spacing w:line="480" w:lineRule="auto"/>
            <w:rPr>
              <w:rFonts w:cs="Times New Roman"/>
              <w:noProof/>
            </w:rPr>
          </w:pPr>
          <w:r>
            <w:rPr>
              <w:rFonts w:cs="Times New Roman"/>
              <w:noProof/>
            </w:rPr>
            <w:t xml:space="preserve">Cohen, Stanley. </w:t>
          </w:r>
          <w:r w:rsidRPr="003F0834">
            <w:rPr>
              <w:rFonts w:cs="Times New Roman"/>
              <w:i/>
              <w:noProof/>
            </w:rPr>
            <w:t>Folk Devils and Moral Panics.</w:t>
          </w:r>
          <w:r>
            <w:rPr>
              <w:rFonts w:cs="Times New Roman"/>
              <w:noProof/>
            </w:rPr>
            <w:t xml:space="preserve"> Third Edition. New York: Routledge, 2002.</w:t>
          </w:r>
        </w:p>
        <w:p w:rsidR="003F0834" w:rsidRDefault="003F0834" w:rsidP="003F0834">
          <w:pPr>
            <w:pStyle w:val="Bibliography"/>
            <w:spacing w:line="480" w:lineRule="auto"/>
            <w:rPr>
              <w:rFonts w:cs="Times New Roman"/>
              <w:noProof/>
            </w:rPr>
          </w:pPr>
          <w:r>
            <w:rPr>
              <w:rFonts w:cs="Times New Roman"/>
              <w:noProof/>
            </w:rPr>
            <w:t xml:space="preserve">Critcher, Chas. "For a Political Economy of Moral Panics." </w:t>
          </w:r>
          <w:r w:rsidRPr="003F0834">
            <w:rPr>
              <w:rFonts w:cs="Times New Roman"/>
              <w:i/>
              <w:noProof/>
            </w:rPr>
            <w:t xml:space="preserve">Crime, Media, Culture: An </w:t>
          </w:r>
          <w:r>
            <w:rPr>
              <w:rFonts w:cs="Times New Roman"/>
              <w:i/>
              <w:noProof/>
            </w:rPr>
            <w:tab/>
          </w:r>
          <w:r w:rsidRPr="003F0834">
            <w:rPr>
              <w:rFonts w:cs="Times New Roman"/>
              <w:i/>
              <w:noProof/>
            </w:rPr>
            <w:t>International Journal</w:t>
          </w:r>
          <w:r>
            <w:rPr>
              <w:rFonts w:cs="Times New Roman"/>
              <w:noProof/>
            </w:rPr>
            <w:t xml:space="preserve"> 7.3 (2001): 259-275.</w:t>
          </w:r>
        </w:p>
        <w:p w:rsidR="003F0834" w:rsidRDefault="003F0834" w:rsidP="003F0834">
          <w:pPr>
            <w:pStyle w:val="Bibliography"/>
            <w:spacing w:line="480" w:lineRule="auto"/>
            <w:rPr>
              <w:rFonts w:cs="Times New Roman"/>
              <w:noProof/>
            </w:rPr>
          </w:pPr>
          <w:r>
            <w:rPr>
              <w:rFonts w:cs="Times New Roman"/>
              <w:noProof/>
            </w:rPr>
            <w:t xml:space="preserve">Goode, Erich and Nachman Ben-Yehuda. "Moral Panics: Culture, Politics, and Social </w:t>
          </w:r>
          <w:r>
            <w:rPr>
              <w:rFonts w:cs="Times New Roman"/>
              <w:noProof/>
            </w:rPr>
            <w:tab/>
            <w:t xml:space="preserve">Contruction." </w:t>
          </w:r>
          <w:r w:rsidRPr="003F0834">
            <w:rPr>
              <w:rFonts w:cs="Times New Roman"/>
              <w:i/>
              <w:noProof/>
            </w:rPr>
            <w:t>Annual Review of Sociology</w:t>
          </w:r>
          <w:r>
            <w:rPr>
              <w:rFonts w:cs="Times New Roman"/>
              <w:noProof/>
            </w:rPr>
            <w:t xml:space="preserve"> 20.1 (1994): 149-171.</w:t>
          </w:r>
        </w:p>
        <w:p w:rsidR="003F0834" w:rsidRDefault="003F0834" w:rsidP="003F0834">
          <w:pPr>
            <w:pStyle w:val="Bibliography"/>
            <w:spacing w:line="480" w:lineRule="auto"/>
            <w:rPr>
              <w:rFonts w:cs="Times New Roman"/>
              <w:noProof/>
            </w:rPr>
          </w:pPr>
          <w:r>
            <w:rPr>
              <w:rFonts w:cs="Times New Roman"/>
              <w:noProof/>
            </w:rPr>
            <w:t xml:space="preserve">Herdt, Gilbert. "Introduction: Moral Panics, Sexual Rights, and Cultural Anger." Herdt, </w:t>
          </w:r>
          <w:r>
            <w:rPr>
              <w:rFonts w:cs="Times New Roman"/>
              <w:noProof/>
            </w:rPr>
            <w:tab/>
            <w:t xml:space="preserve">Gilbert. </w:t>
          </w:r>
          <w:r w:rsidRPr="003F0834">
            <w:rPr>
              <w:rFonts w:cs="Times New Roman"/>
              <w:i/>
              <w:noProof/>
            </w:rPr>
            <w:t>Moral Panics, Sex Panics: Fear and the Fight Over Sexual Rights</w:t>
          </w:r>
          <w:r>
            <w:rPr>
              <w:rFonts w:cs="Times New Roman"/>
              <w:noProof/>
            </w:rPr>
            <w:t xml:space="preserve">. New York: </w:t>
          </w:r>
          <w:r>
            <w:rPr>
              <w:rFonts w:cs="Times New Roman"/>
              <w:noProof/>
            </w:rPr>
            <w:tab/>
            <w:t>NYU Press, 2009. 1-33.</w:t>
          </w:r>
        </w:p>
        <w:p w:rsidR="003F0834" w:rsidRDefault="003F0834" w:rsidP="003F0834">
          <w:pPr>
            <w:pStyle w:val="Bibliography"/>
            <w:spacing w:line="480" w:lineRule="auto"/>
            <w:rPr>
              <w:rFonts w:cs="Times New Roman"/>
              <w:noProof/>
            </w:rPr>
          </w:pPr>
          <w:r>
            <w:rPr>
              <w:rFonts w:cs="Times New Roman"/>
              <w:noProof/>
            </w:rPr>
            <w:t>Levack, Brian P.</w:t>
          </w:r>
          <w:r w:rsidRPr="003F0834">
            <w:rPr>
              <w:rFonts w:cs="Times New Roman"/>
              <w:i/>
              <w:noProof/>
            </w:rPr>
            <w:t xml:space="preserve"> The Witch-Hunt in Early Modern Europe</w:t>
          </w:r>
          <w:r>
            <w:rPr>
              <w:rFonts w:cs="Times New Roman"/>
              <w:noProof/>
            </w:rPr>
            <w:t xml:space="preserve">. Second Edition. New York: </w:t>
          </w:r>
          <w:r>
            <w:rPr>
              <w:rFonts w:cs="Times New Roman"/>
              <w:noProof/>
            </w:rPr>
            <w:tab/>
            <w:t>Longman Publishing, 1995.</w:t>
          </w:r>
        </w:p>
        <w:p w:rsidR="003F0834" w:rsidRDefault="003F0834" w:rsidP="003F0834">
          <w:pPr>
            <w:pStyle w:val="Bibliography"/>
            <w:spacing w:line="480" w:lineRule="auto"/>
            <w:rPr>
              <w:rFonts w:cs="Times New Roman"/>
              <w:noProof/>
            </w:rPr>
          </w:pPr>
          <w:r>
            <w:rPr>
              <w:rFonts w:cs="Times New Roman"/>
              <w:noProof/>
            </w:rPr>
            <w:t xml:space="preserve">McLuhan, Marshall and Quentin Fiore. </w:t>
          </w:r>
          <w:r w:rsidRPr="003F0834">
            <w:rPr>
              <w:rFonts w:cs="Times New Roman"/>
              <w:i/>
              <w:noProof/>
            </w:rPr>
            <w:t>The Medium is the Massage</w:t>
          </w:r>
          <w:r>
            <w:rPr>
              <w:rFonts w:cs="Times New Roman"/>
              <w:noProof/>
            </w:rPr>
            <w:t xml:space="preserve">. New York: Bantam </w:t>
          </w:r>
          <w:r>
            <w:rPr>
              <w:rFonts w:cs="Times New Roman"/>
              <w:noProof/>
            </w:rPr>
            <w:tab/>
            <w:t>Books, 1967.</w:t>
          </w:r>
        </w:p>
        <w:p w:rsidR="003F0834" w:rsidRDefault="003F0834" w:rsidP="003F0834">
          <w:pPr>
            <w:spacing w:line="480" w:lineRule="auto"/>
          </w:pPr>
          <w:r>
            <w:fldChar w:fldCharType="end"/>
          </w:r>
        </w:p>
      </w:sdtContent>
    </w:sdt>
    <w:p w:rsidR="00972231" w:rsidRPr="0022593B" w:rsidRDefault="00972231" w:rsidP="003F0834">
      <w:pPr>
        <w:spacing w:line="480" w:lineRule="auto"/>
        <w:rPr>
          <w:caps/>
        </w:rPr>
      </w:pPr>
    </w:p>
    <w:sectPr w:rsidR="00972231" w:rsidRPr="0022593B" w:rsidSect="00337E1C">
      <w:headerReference w:type="default" r:id="rId6"/>
      <w:pgSz w:w="12240" w:h="15840"/>
      <w:pgMar w:top="1440" w:right="1440" w:bottom="1440" w:left="1440" w:gutter="0"/>
      <w:printerSettings r:id="rId7"/>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Lucida Grande">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header1.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420816" w:rsidRDefault="00420816">
    <w:pPr>
      <w:pStyle w:val="Header"/>
    </w:pPr>
    <w:r>
      <w:ptab w:relativeTo="margin" w:alignment="center" w:leader="none"/>
    </w:r>
    <w:r>
      <w:ptab w:relativeTo="margin" w:alignment="right" w:leader="none"/>
    </w:r>
    <w:r>
      <w:t xml:space="preserve">Lindem </w:t>
    </w:r>
    <w:r>
      <w:rPr>
        <w:rStyle w:val="PageNumber"/>
      </w:rPr>
      <w:fldChar w:fldCharType="begin"/>
    </w:r>
    <w:r>
      <w:rPr>
        <w:rStyle w:val="PageNumber"/>
      </w:rPr>
      <w:instrText xml:space="preserve"> PAGE </w:instrText>
    </w:r>
    <w:r>
      <w:rPr>
        <w:rStyle w:val="PageNumber"/>
      </w:rPr>
      <w:fldChar w:fldCharType="separate"/>
    </w:r>
    <w:r w:rsidR="00F35902">
      <w:rPr>
        <w:rStyle w:val="PageNumber"/>
        <w:noProof/>
      </w:rPr>
      <w:t>14</w:t>
    </w:r>
    <w:r>
      <w:rPr>
        <w:rStyle w:val="PageNumber"/>
      </w:rPr>
      <w:fldChar w:fldCharType="end"/>
    </w:r>
  </w:p>
  <w:p w:rsidR="00420816" w:rsidRDefault="00420816">
    <w:pPr>
      <w:pStyle w:val="Header"/>
    </w:pPr>
  </w:p>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0000001"/>
    <w:multiLevelType w:val="hybridMultilevel"/>
    <w:tmpl w:val="00000001"/>
    <w:lvl w:ilvl="0" w:tplc="00000000">
      <w:start w:val="1"/>
      <w:numFmt w:val="bullet"/>
      <w:lvlText w:val="%6."/>
      <w:lvlJc w:val="righ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AA624F3"/>
    <w:multiLevelType w:val="hybridMultilevel"/>
    <w:tmpl w:val="0DA00F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FA943CA"/>
    <w:multiLevelType w:val="hybridMultilevel"/>
    <w:tmpl w:val="3A9601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2D13977"/>
    <w:multiLevelType w:val="hybridMultilevel"/>
    <w:tmpl w:val="09009D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52F07EB"/>
    <w:multiLevelType w:val="hybridMultilevel"/>
    <w:tmpl w:val="46745D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ABC4001"/>
    <w:multiLevelType w:val="hybridMultilevel"/>
    <w:tmpl w:val="573024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5E60FEE"/>
    <w:multiLevelType w:val="hybridMultilevel"/>
    <w:tmpl w:val="7B3AC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5FA1015"/>
    <w:multiLevelType w:val="hybridMultilevel"/>
    <w:tmpl w:val="55FC3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4"/>
  </w:num>
  <w:num w:numId="4">
    <w:abstractNumId w:val="3"/>
  </w:num>
  <w:num w:numId="5">
    <w:abstractNumId w:val="2"/>
  </w:num>
  <w:num w:numId="6">
    <w:abstractNumId w:val="7"/>
  </w:num>
  <w:num w:numId="7">
    <w:abstractNumId w:val="0"/>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67"/>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doNotVertAlignCellWithSp/>
    <w:doNotBreakConstrainedForcedTable/>
    <w:useAnsiKerningPairs/>
    <w:cachedColBalance/>
    <w:splitPgBreakAndParaMark/>
  </w:compat>
  <w:rsids>
    <w:rsidRoot w:val="00F177A0"/>
    <w:rsid w:val="00021BE7"/>
    <w:rsid w:val="00024F01"/>
    <w:rsid w:val="0002564B"/>
    <w:rsid w:val="000329D0"/>
    <w:rsid w:val="00035AEB"/>
    <w:rsid w:val="00040BC7"/>
    <w:rsid w:val="0005171A"/>
    <w:rsid w:val="0006011F"/>
    <w:rsid w:val="00062991"/>
    <w:rsid w:val="000670DC"/>
    <w:rsid w:val="00075E54"/>
    <w:rsid w:val="00077D44"/>
    <w:rsid w:val="00081FFC"/>
    <w:rsid w:val="000A2ACC"/>
    <w:rsid w:val="000A2E72"/>
    <w:rsid w:val="000F468D"/>
    <w:rsid w:val="001077CC"/>
    <w:rsid w:val="0012256E"/>
    <w:rsid w:val="00127F19"/>
    <w:rsid w:val="00131B9D"/>
    <w:rsid w:val="001348B7"/>
    <w:rsid w:val="00150235"/>
    <w:rsid w:val="001531DE"/>
    <w:rsid w:val="001674EC"/>
    <w:rsid w:val="00167D0B"/>
    <w:rsid w:val="00171AA1"/>
    <w:rsid w:val="00174777"/>
    <w:rsid w:val="00185E78"/>
    <w:rsid w:val="001873AC"/>
    <w:rsid w:val="001932A2"/>
    <w:rsid w:val="001B5392"/>
    <w:rsid w:val="001C15ED"/>
    <w:rsid w:val="002178E3"/>
    <w:rsid w:val="0022593B"/>
    <w:rsid w:val="00231928"/>
    <w:rsid w:val="00231FFD"/>
    <w:rsid w:val="00237C34"/>
    <w:rsid w:val="0025220E"/>
    <w:rsid w:val="00253CCA"/>
    <w:rsid w:val="00282629"/>
    <w:rsid w:val="00285D5A"/>
    <w:rsid w:val="002867C1"/>
    <w:rsid w:val="002A35E4"/>
    <w:rsid w:val="002A591E"/>
    <w:rsid w:val="002B2836"/>
    <w:rsid w:val="002C1066"/>
    <w:rsid w:val="002D7E2B"/>
    <w:rsid w:val="00303AEC"/>
    <w:rsid w:val="003270E5"/>
    <w:rsid w:val="00337E1C"/>
    <w:rsid w:val="003541AD"/>
    <w:rsid w:val="00362D82"/>
    <w:rsid w:val="00363AE4"/>
    <w:rsid w:val="00367552"/>
    <w:rsid w:val="00384387"/>
    <w:rsid w:val="00392D25"/>
    <w:rsid w:val="00393FF2"/>
    <w:rsid w:val="003A21C4"/>
    <w:rsid w:val="003B63F2"/>
    <w:rsid w:val="003B6C6A"/>
    <w:rsid w:val="003C6D79"/>
    <w:rsid w:val="003E6B05"/>
    <w:rsid w:val="003E796D"/>
    <w:rsid w:val="003F0834"/>
    <w:rsid w:val="003F0946"/>
    <w:rsid w:val="003F2AA9"/>
    <w:rsid w:val="00401C88"/>
    <w:rsid w:val="00412FD9"/>
    <w:rsid w:val="00420816"/>
    <w:rsid w:val="0043749F"/>
    <w:rsid w:val="004511D2"/>
    <w:rsid w:val="00460571"/>
    <w:rsid w:val="004629E6"/>
    <w:rsid w:val="00467FB7"/>
    <w:rsid w:val="00473FC3"/>
    <w:rsid w:val="00474023"/>
    <w:rsid w:val="00477BEF"/>
    <w:rsid w:val="004A0048"/>
    <w:rsid w:val="004B5A34"/>
    <w:rsid w:val="004D4059"/>
    <w:rsid w:val="004D5213"/>
    <w:rsid w:val="004D6A46"/>
    <w:rsid w:val="004E166B"/>
    <w:rsid w:val="004E36E5"/>
    <w:rsid w:val="00501BDF"/>
    <w:rsid w:val="0050698C"/>
    <w:rsid w:val="00506C5A"/>
    <w:rsid w:val="00516B53"/>
    <w:rsid w:val="005361E9"/>
    <w:rsid w:val="0054248B"/>
    <w:rsid w:val="00547437"/>
    <w:rsid w:val="00553021"/>
    <w:rsid w:val="00587EDF"/>
    <w:rsid w:val="00595236"/>
    <w:rsid w:val="005A2C05"/>
    <w:rsid w:val="005A5B68"/>
    <w:rsid w:val="005A60A1"/>
    <w:rsid w:val="005B44C6"/>
    <w:rsid w:val="005D19B1"/>
    <w:rsid w:val="005D259D"/>
    <w:rsid w:val="005E33D2"/>
    <w:rsid w:val="005E77E0"/>
    <w:rsid w:val="005F57F6"/>
    <w:rsid w:val="00611DA6"/>
    <w:rsid w:val="006176F0"/>
    <w:rsid w:val="006420FB"/>
    <w:rsid w:val="00645399"/>
    <w:rsid w:val="00645AD4"/>
    <w:rsid w:val="00651305"/>
    <w:rsid w:val="00651E0B"/>
    <w:rsid w:val="00664324"/>
    <w:rsid w:val="0066478D"/>
    <w:rsid w:val="00671958"/>
    <w:rsid w:val="006935DC"/>
    <w:rsid w:val="006973A6"/>
    <w:rsid w:val="006A6583"/>
    <w:rsid w:val="006B3FF7"/>
    <w:rsid w:val="006B7B73"/>
    <w:rsid w:val="006C6A0B"/>
    <w:rsid w:val="006C7DEF"/>
    <w:rsid w:val="006D1621"/>
    <w:rsid w:val="006E59A0"/>
    <w:rsid w:val="006F11E7"/>
    <w:rsid w:val="0070663A"/>
    <w:rsid w:val="00715494"/>
    <w:rsid w:val="0071567C"/>
    <w:rsid w:val="0074698B"/>
    <w:rsid w:val="00750A09"/>
    <w:rsid w:val="00750E46"/>
    <w:rsid w:val="007512E0"/>
    <w:rsid w:val="007530A6"/>
    <w:rsid w:val="00772593"/>
    <w:rsid w:val="0077334B"/>
    <w:rsid w:val="0077607B"/>
    <w:rsid w:val="00783876"/>
    <w:rsid w:val="007A65D0"/>
    <w:rsid w:val="007A663B"/>
    <w:rsid w:val="007B368F"/>
    <w:rsid w:val="007B6DFF"/>
    <w:rsid w:val="007D3C27"/>
    <w:rsid w:val="007D6F52"/>
    <w:rsid w:val="007E1BB7"/>
    <w:rsid w:val="00811B2C"/>
    <w:rsid w:val="00824EBC"/>
    <w:rsid w:val="008636B6"/>
    <w:rsid w:val="00873C48"/>
    <w:rsid w:val="0087588B"/>
    <w:rsid w:val="00890978"/>
    <w:rsid w:val="008A1062"/>
    <w:rsid w:val="008B415D"/>
    <w:rsid w:val="008B75AD"/>
    <w:rsid w:val="008C074D"/>
    <w:rsid w:val="008C69AA"/>
    <w:rsid w:val="008C725C"/>
    <w:rsid w:val="008F1F4B"/>
    <w:rsid w:val="00902992"/>
    <w:rsid w:val="00937BC6"/>
    <w:rsid w:val="009412D8"/>
    <w:rsid w:val="009568CB"/>
    <w:rsid w:val="00962067"/>
    <w:rsid w:val="009644E9"/>
    <w:rsid w:val="009714C8"/>
    <w:rsid w:val="00972231"/>
    <w:rsid w:val="00974C5C"/>
    <w:rsid w:val="009764AE"/>
    <w:rsid w:val="0098231A"/>
    <w:rsid w:val="00991993"/>
    <w:rsid w:val="00992152"/>
    <w:rsid w:val="00996746"/>
    <w:rsid w:val="00997F43"/>
    <w:rsid w:val="009A0031"/>
    <w:rsid w:val="009A09AF"/>
    <w:rsid w:val="009A39DD"/>
    <w:rsid w:val="009A5007"/>
    <w:rsid w:val="009A5F87"/>
    <w:rsid w:val="009B15BB"/>
    <w:rsid w:val="009B3520"/>
    <w:rsid w:val="009C6A30"/>
    <w:rsid w:val="009E0F1D"/>
    <w:rsid w:val="009E1E44"/>
    <w:rsid w:val="00A02A5C"/>
    <w:rsid w:val="00A25E4F"/>
    <w:rsid w:val="00A350EA"/>
    <w:rsid w:val="00A37D76"/>
    <w:rsid w:val="00A55A21"/>
    <w:rsid w:val="00A72260"/>
    <w:rsid w:val="00A95DCB"/>
    <w:rsid w:val="00A973D7"/>
    <w:rsid w:val="00AA5A2A"/>
    <w:rsid w:val="00AE14BA"/>
    <w:rsid w:val="00AF515F"/>
    <w:rsid w:val="00B0024C"/>
    <w:rsid w:val="00B12F7A"/>
    <w:rsid w:val="00B15A8C"/>
    <w:rsid w:val="00B316A7"/>
    <w:rsid w:val="00B33216"/>
    <w:rsid w:val="00B40205"/>
    <w:rsid w:val="00B431CC"/>
    <w:rsid w:val="00B6252A"/>
    <w:rsid w:val="00B831C7"/>
    <w:rsid w:val="00B84EAC"/>
    <w:rsid w:val="00B84FD2"/>
    <w:rsid w:val="00BA4F77"/>
    <w:rsid w:val="00BA6ADA"/>
    <w:rsid w:val="00BD1156"/>
    <w:rsid w:val="00BD3380"/>
    <w:rsid w:val="00BE15D6"/>
    <w:rsid w:val="00BE4B8C"/>
    <w:rsid w:val="00BF3C3D"/>
    <w:rsid w:val="00C01C2B"/>
    <w:rsid w:val="00C1212D"/>
    <w:rsid w:val="00C470C0"/>
    <w:rsid w:val="00C566C3"/>
    <w:rsid w:val="00C82D7C"/>
    <w:rsid w:val="00C87557"/>
    <w:rsid w:val="00CB5DF7"/>
    <w:rsid w:val="00CC494A"/>
    <w:rsid w:val="00CE0A14"/>
    <w:rsid w:val="00CE60E4"/>
    <w:rsid w:val="00CE7BC0"/>
    <w:rsid w:val="00CF42B6"/>
    <w:rsid w:val="00CF591A"/>
    <w:rsid w:val="00CF5C57"/>
    <w:rsid w:val="00D02581"/>
    <w:rsid w:val="00D05A31"/>
    <w:rsid w:val="00D14FFD"/>
    <w:rsid w:val="00D42E3A"/>
    <w:rsid w:val="00D55607"/>
    <w:rsid w:val="00D56071"/>
    <w:rsid w:val="00D624AA"/>
    <w:rsid w:val="00D64E9D"/>
    <w:rsid w:val="00D6670C"/>
    <w:rsid w:val="00D74A8E"/>
    <w:rsid w:val="00D94BCE"/>
    <w:rsid w:val="00DB027B"/>
    <w:rsid w:val="00DB0591"/>
    <w:rsid w:val="00DE0F31"/>
    <w:rsid w:val="00DE2988"/>
    <w:rsid w:val="00E15FC0"/>
    <w:rsid w:val="00E16400"/>
    <w:rsid w:val="00E23A98"/>
    <w:rsid w:val="00E24A88"/>
    <w:rsid w:val="00E34FCA"/>
    <w:rsid w:val="00E40F16"/>
    <w:rsid w:val="00E5119E"/>
    <w:rsid w:val="00E55022"/>
    <w:rsid w:val="00E632EF"/>
    <w:rsid w:val="00E6407E"/>
    <w:rsid w:val="00E70F8C"/>
    <w:rsid w:val="00E84F5C"/>
    <w:rsid w:val="00E92A8F"/>
    <w:rsid w:val="00EA00BC"/>
    <w:rsid w:val="00EA2EDF"/>
    <w:rsid w:val="00EA44E9"/>
    <w:rsid w:val="00EA59EE"/>
    <w:rsid w:val="00EB5D34"/>
    <w:rsid w:val="00EB7ADC"/>
    <w:rsid w:val="00ED32DE"/>
    <w:rsid w:val="00ED4A0A"/>
    <w:rsid w:val="00ED604D"/>
    <w:rsid w:val="00F03F1F"/>
    <w:rsid w:val="00F11552"/>
    <w:rsid w:val="00F11B93"/>
    <w:rsid w:val="00F177A0"/>
    <w:rsid w:val="00F35902"/>
    <w:rsid w:val="00F36F3C"/>
    <w:rsid w:val="00F461C7"/>
    <w:rsid w:val="00F53FF8"/>
    <w:rsid w:val="00F542C8"/>
    <w:rsid w:val="00F54D07"/>
    <w:rsid w:val="00F660C3"/>
    <w:rsid w:val="00F81F5D"/>
    <w:rsid w:val="00FB542B"/>
    <w:rsid w:val="00FC1907"/>
    <w:rsid w:val="00FE5B80"/>
    <w:rsid w:val="00FF4FF1"/>
  </w:rsids>
  <m:mathPr>
    <m:mathFont m:val="Abadi MT Condensed Ligh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lsdException w:name="heading 1" w:uiPriority="9" w:qFormat="1"/>
    <w:lsdException w:name="header" w:uiPriority="99"/>
    <w:lsdException w:name="List Paragraph" w:uiPriority="34" w:qFormat="1"/>
  </w:latentStyles>
  <w:style w:type="paragraph" w:default="1" w:styleId="Normal">
    <w:name w:val="Normal"/>
    <w:qFormat/>
    <w:rsid w:val="002E32DD"/>
  </w:style>
  <w:style w:type="paragraph" w:styleId="Heading1">
    <w:name w:val="heading 1"/>
    <w:basedOn w:val="Normal"/>
    <w:next w:val="Normal"/>
    <w:link w:val="Heading1Char"/>
    <w:uiPriority w:val="9"/>
    <w:qFormat/>
    <w:rsid w:val="00595236"/>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bidi="en-US"/>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337E1C"/>
    <w:pPr>
      <w:ind w:left="720"/>
      <w:contextualSpacing/>
    </w:pPr>
  </w:style>
  <w:style w:type="character" w:customStyle="1" w:styleId="Heading1Char">
    <w:name w:val="Heading 1 Char"/>
    <w:basedOn w:val="DefaultParagraphFont"/>
    <w:link w:val="Heading1"/>
    <w:uiPriority w:val="9"/>
    <w:rsid w:val="00595236"/>
    <w:rPr>
      <w:rFonts w:asciiTheme="majorHAnsi" w:eastAsiaTheme="majorEastAsia" w:hAnsiTheme="majorHAnsi" w:cstheme="majorBidi"/>
      <w:b/>
      <w:bCs/>
      <w:color w:val="365F91" w:themeColor="accent1" w:themeShade="BF"/>
      <w:sz w:val="28"/>
      <w:szCs w:val="28"/>
      <w:lang w:bidi="en-US"/>
    </w:rPr>
  </w:style>
  <w:style w:type="paragraph" w:styleId="Bibliography">
    <w:name w:val="Bibliography"/>
    <w:basedOn w:val="Normal"/>
    <w:next w:val="Normal"/>
    <w:rsid w:val="00F11B93"/>
  </w:style>
  <w:style w:type="paragraph" w:styleId="Header">
    <w:name w:val="header"/>
    <w:basedOn w:val="Normal"/>
    <w:link w:val="HeaderChar"/>
    <w:uiPriority w:val="99"/>
    <w:rsid w:val="00174777"/>
    <w:pPr>
      <w:tabs>
        <w:tab w:val="center" w:pos="4320"/>
        <w:tab w:val="right" w:pos="8640"/>
      </w:tabs>
    </w:pPr>
  </w:style>
  <w:style w:type="character" w:customStyle="1" w:styleId="HeaderChar">
    <w:name w:val="Header Char"/>
    <w:basedOn w:val="DefaultParagraphFont"/>
    <w:link w:val="Header"/>
    <w:uiPriority w:val="99"/>
    <w:rsid w:val="00174777"/>
  </w:style>
  <w:style w:type="paragraph" w:styleId="Footer">
    <w:name w:val="footer"/>
    <w:basedOn w:val="Normal"/>
    <w:link w:val="FooterChar"/>
    <w:rsid w:val="00174777"/>
    <w:pPr>
      <w:tabs>
        <w:tab w:val="center" w:pos="4320"/>
        <w:tab w:val="right" w:pos="8640"/>
      </w:tabs>
    </w:pPr>
  </w:style>
  <w:style w:type="character" w:customStyle="1" w:styleId="FooterChar">
    <w:name w:val="Footer Char"/>
    <w:basedOn w:val="DefaultParagraphFont"/>
    <w:link w:val="Footer"/>
    <w:rsid w:val="00174777"/>
  </w:style>
  <w:style w:type="character" w:styleId="PageNumber">
    <w:name w:val="page number"/>
    <w:basedOn w:val="DefaultParagraphFont"/>
    <w:rsid w:val="00174777"/>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webSettings" Target="webSettings.xml"/><Relationship Id="rId7" Type="http://schemas.openxmlformats.org/officeDocument/2006/relationships/printerSettings" Target="printerSettings/printerSettings1.bin"/><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theme" Target="theme/theme1.xml"/><Relationship Id="rId3"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Lev95</b:Tag>
    <b:SourceType>Book</b:SourceType>
    <b:Guid>{AE751DF6-67F2-5B4A-9309-13759FABBEF9}</b:Guid>
    <b:LCID>0</b:LCID>
    <b:Author>
      <b:Author>
        <b:NameList>
          <b:Person>
            <b:Last>Levack</b:Last>
            <b:First>Brian</b:First>
            <b:Middle>P.</b:Middle>
          </b:Person>
        </b:NameList>
      </b:Author>
    </b:Author>
    <b:Title>The Witch-Hunt in Early Modern Europe</b:Title>
    <b:City>New York</b:City>
    <b:StateProvince>New York</b:StateProvince>
    <b:Publisher>Longman Publishing</b:Publisher>
    <b:Year>1995</b:Year>
    <b:Edition>Second Edition</b:Edition>
    <b:RefOrder>1</b:RefOrder>
  </b:Source>
  <b:Source>
    <b:Tag>Coh02</b:Tag>
    <b:SourceType>Book</b:SourceType>
    <b:Guid>{A92DDDEC-3B77-9B42-BE1B-00151628B9BE}</b:Guid>
    <b:LCID>0</b:LCID>
    <b:Author>
      <b:Author>
        <b:NameList>
          <b:Person>
            <b:Last>Cohen</b:Last>
            <b:First>Stanley</b:First>
          </b:Person>
        </b:NameList>
      </b:Author>
    </b:Author>
    <b:Title>Folk Devils and Moral Panics</b:Title>
    <b:City>New York</b:City>
    <b:StateProvince>New York</b:StateProvince>
    <b:Publisher>Routledge</b:Publisher>
    <b:Year>2002</b:Year>
    <b:Edition>Third Edition</b:Edition>
    <b:RefOrder>2</b:RefOrder>
  </b:Source>
  <b:Source>
    <b:Tag>Bro03</b:Tag>
    <b:SourceType>Book</b:SourceType>
    <b:Guid>{C38EAFE7-3D0D-B24F-BA60-3A4A9D1579EF}</b:Guid>
    <b:LCID>0</b:LCID>
    <b:Author>
      <b:Author>
        <b:NameList>
          <b:Person>
            <b:Last>Broedel</b:Last>
            <b:First>Hans</b:First>
            <b:Middle>Peter</b:Middle>
          </b:Person>
        </b:NameList>
      </b:Author>
    </b:Author>
    <b:Title>The Malleus Maleficarum and the Construction of Witchcraft</b:Title>
    <b:City>New York</b:City>
    <b:StateProvince>New York</b:StateProvince>
    <b:Publisher>Manchester University Press</b:Publisher>
    <b:Year>2003</b:Year>
    <b:RefOrder>3</b:RefOrder>
  </b:Source>
  <b:Source>
    <b:Tag>App79</b:Tag>
    <b:SourceType>Book</b:SourceType>
    <b:Guid>{DBDD378B-554B-A745-ACCF-2F6679CC34DD}</b:Guid>
    <b:LCID>0</b:LCID>
    <b:Author>
      <b:Author>
        <b:NameList>
          <b:Person>
            <b:Last>Appignanesi</b:Last>
            <b:First>Richard</b:First>
          </b:Person>
        </b:NameList>
      </b:Author>
    </b:Author>
    <b:Title>Freud for Beginners</b:Title>
    <b:StateProvince>New York</b:StateProvince>
    <b:Publisher>Pantheon Books</b:Publisher>
    <b:Year>1979</b:Year>
    <b:RefOrder>4</b:RefOrder>
  </b:Source>
  <b:Source>
    <b:Tag>McL67</b:Tag>
    <b:SourceType>Book</b:SourceType>
    <b:Guid>{4FA4E4AC-7DE7-4841-AC53-BCB4F42CF418}</b:Guid>
    <b:LCID>0</b:LCID>
    <b:Author>
      <b:Author>
        <b:NameList>
          <b:Person>
            <b:Last>McLuhan</b:Last>
            <b:First>Marshall</b:First>
          </b:Person>
          <b:Person>
            <b:Last>Fiore</b:Last>
            <b:First>Quentin</b:First>
          </b:Person>
        </b:NameList>
      </b:Author>
    </b:Author>
    <b:Title>The Medium is the Massage</b:Title>
    <b:City>New York</b:City>
    <b:StateProvince>New York</b:StateProvince>
    <b:Publisher>Bantam Books</b:Publisher>
    <b:Year>1967</b:Year>
    <b:RefOrder>5</b:RefOrder>
  </b:Source>
  <b:Source>
    <b:Tag>Cri01</b:Tag>
    <b:SourceType>JournalArticle</b:SourceType>
    <b:Guid>{82A667D0-86AC-4C45-B4AD-2B1719445FFB}</b:Guid>
    <b:LCID>0</b:LCID>
    <b:Author>
      <b:Author>
        <b:NameList>
          <b:Person>
            <b:Last>Critcher</b:Last>
            <b:First>Chas</b:First>
          </b:Person>
        </b:NameList>
      </b:Author>
    </b:Author>
    <b:Title>For a Political Economy of Moral Panics</b:Title>
    <b:Year>2001</b:Year>
    <b:Volume>7</b:Volume>
    <b:Pages>259-275</b:Pages>
    <b:JournalName>Crime, Media, Culture: An International Journal</b:JournalName>
    <b:Issue>3</b:Issue>
    <b:RefOrder>6</b:RefOrder>
  </b:Source>
  <b:Source>
    <b:Tag>Goo94</b:Tag>
    <b:SourceType>JournalArticle</b:SourceType>
    <b:Guid>{2D0C2D49-3BF9-E840-8754-66296A75C7AF}</b:Guid>
    <b:LCID>0</b:LCID>
    <b:Author>
      <b:Author>
        <b:NameList>
          <b:Person>
            <b:Last>Goode</b:Last>
            <b:First>Erich</b:First>
          </b:Person>
          <b:Person>
            <b:Last>Ben-Yehuda</b:Last>
            <b:First>Nachman</b:First>
          </b:Person>
        </b:NameList>
      </b:Author>
    </b:Author>
    <b:Title>Moral Panics: Culture, Politics, and Social Contruction</b:Title>
    <b:JournalName>Annual Review of Sociology</b:JournalName>
    <b:Year>1994</b:Year>
    <b:Volume>20</b:Volume>
    <b:Issue>1</b:Issue>
    <b:Pages>149-171</b:Pages>
    <b:RefOrder>7</b:RefOrder>
  </b:Source>
  <b:Source>
    <b:Tag>Cla08</b:Tag>
    <b:SourceType>JournalArticle</b:SourceType>
    <b:Guid>{61EE2368-E1A2-C648-BB89-3CE2CF169FA2}</b:Guid>
    <b:LCID>0</b:LCID>
    <b:Author>
      <b:Author>
        <b:NameList>
          <b:Person>
            <b:Last>Clarke</b:Last>
            <b:First>Lee</b:First>
          </b:Person>
          <b:Person>
            <b:Last>Chess</b:Last>
            <b:First>Caron</b:First>
          </b:Person>
        </b:NameList>
      </b:Author>
    </b:Author>
    <b:Title>Elites and Panic: More to Fear than Fear Itself</b:Title>
    <b:JournalName>Social Forces</b:JournalName>
    <b:Year>2008</b:Year>
    <b:Volume>87</b:Volume>
    <b:Issue>2</b:Issue>
    <b:Pages>993-1014</b:Pages>
    <b:RefOrder>8</b:RefOrder>
  </b:Source>
  <b:Source>
    <b:Tag>Her09</b:Tag>
    <b:SourceType>BookSection</b:SourceType>
    <b:Guid>{D0BE639E-71C8-E140-901E-4C4B80CBC8DE}</b:Guid>
    <b:LCID>0</b:LCID>
    <b:Author>
      <b:Author>
        <b:NameList>
          <b:Person>
            <b:Last>Herdt</b:Last>
            <b:First>Gilbert</b:First>
          </b:Person>
        </b:NameList>
      </b:Author>
      <b:BookAuthor>
        <b:NameList>
          <b:Person>
            <b:Last>Herdt</b:Last>
            <b:First>Gilbert</b:First>
          </b:Person>
        </b:NameList>
      </b:BookAuthor>
    </b:Author>
    <b:Title>Introduction: Moral Panics, Sexual Rights, and Cultural Anger</b:Title>
    <b:Publisher>NYU Press</b:Publisher>
    <b:City>New York</b:City>
    <b:Year>2009</b:Year>
    <b:Pages>1-33</b:Pages>
    <b:BookTitle>Moral Panics, Sex Panics: Fear and the Fight Over Sexual Rights</b:BookTitle>
    <b:RefOrder>9</b:RefOrder>
  </b:Source>
</b:Sources>
</file>

<file path=customXml/itemProps1.xml><?xml version="1.0" encoding="utf-8"?>
<ds:datastoreItem xmlns:ds="http://schemas.openxmlformats.org/officeDocument/2006/customXml" ds:itemID="{40D3D816-8680-7D46-9D7A-42D085C0F4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1182</TotalTime>
  <Pages>15</Pages>
  <Words>3681</Words>
  <Characters>20985</Characters>
  <Application>Microsoft Word 12.1.0</Application>
  <DocSecurity>0</DocSecurity>
  <Lines>174</Lines>
  <Paragraphs>41</Paragraphs>
  <ScaleCrop>false</ScaleCrop>
  <LinksUpToDate>false</LinksUpToDate>
  <CharactersWithSpaces>25771</CharactersWithSpaces>
  <SharedDoc>false</SharedDoc>
  <HyperlinksChanged>false</HyperlinksChanged>
  <AppVersion>12.0256</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Vicki Lindem</dc:creator>
  <cp:keywords/>
  <cp:lastModifiedBy>Vicki Lindem</cp:lastModifiedBy>
  <cp:revision>199</cp:revision>
  <cp:lastPrinted>2012-12-03T00:31:00Z</cp:lastPrinted>
  <dcterms:created xsi:type="dcterms:W3CDTF">2012-11-29T21:42:00Z</dcterms:created>
  <dcterms:modified xsi:type="dcterms:W3CDTF">2012-12-10T22:37:00Z</dcterms:modified>
</cp:coreProperties>
</file>