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both"/>
        <w:rPr/>
      </w:pPr>
      <w:hyperlink r:id="rId2">
        <w:r>
          <w:rPr>
            <w:rStyle w:val="InternetLink"/>
            <w:b/>
            <w:sz w:val="26"/>
            <w:szCs w:val="26"/>
            <w:lang w:val="ru-RU"/>
          </w:rPr>
          <w:t>Ссылка</w:t>
        </w:r>
      </w:hyperlink>
      <w:r>
        <w:rPr>
          <w:b/>
          <w:sz w:val="26"/>
          <w:szCs w:val="26"/>
          <w:lang w:val="ru-RU"/>
        </w:rPr>
        <w:t xml:space="preserve"> на дашборд.</w:t>
      </w:r>
    </w:p>
    <w:p>
      <w:pPr>
        <w:pStyle w:val="Normal1"/>
        <w:jc w:val="both"/>
        <w:rPr>
          <w:b/>
          <w:b/>
          <w:sz w:val="26"/>
          <w:szCs w:val="26"/>
        </w:rPr>
      </w:pPr>
      <w:r>
        <w:rPr>
          <w:lang w:val="ru-RU"/>
        </w:rPr>
      </w:r>
    </w:p>
    <w:p>
      <w:pPr>
        <w:pStyle w:val="Normal1"/>
        <w:jc w:val="both"/>
        <w:rPr>
          <w:lang w:val="ru-RU"/>
        </w:rPr>
      </w:pPr>
      <w:r>
        <w:rPr>
          <w:b/>
          <w:sz w:val="26"/>
          <w:szCs w:val="26"/>
          <w:lang w:val="ru-RU"/>
        </w:rPr>
        <w:t>Комментарии к дашборду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lang w:val="ru-RU"/>
        </w:rPr>
      </w:pPr>
      <w:r>
        <w:rPr>
          <w:b/>
          <w:lang w:val="ru-RU"/>
        </w:rPr>
        <w:t>Подход к анализу данных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>Анализируем данные по продажам товаров за период с 1 декабря 2010 по 9 декабря 2011 (далее - рассматриваемый период) в разрезе объема заказов, покупателей и их географии. Компания занимается продажей масс-маркет (average unit price £2.88) сувениров, товаров для дома и подарков. Компания активно растет (выручка за 9 дней декабря 2011 уже ставила порядка 70% от декабря 2010). Рост продаж  по сравнению с предыдущими периодами наблюдается с мая, с сентября тренд становится очевидным и постоянно возрастающим.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</w:r>
    </w:p>
    <w:p>
      <w:pPr>
        <w:pStyle w:val="Normal1"/>
        <w:jc w:val="both"/>
        <w:rPr>
          <w:lang w:val="ru-RU"/>
        </w:rPr>
      </w:pPr>
      <w:r>
        <w:rPr>
          <w:u w:val="single"/>
          <w:lang w:val="ru-RU"/>
        </w:rPr>
        <w:t>Какие метрики анализируем</w:t>
      </w:r>
      <w:r>
        <w:rPr>
          <w:lang w:val="ru-RU"/>
        </w:rPr>
        <w:t>:</w:t>
      </w:r>
    </w:p>
    <w:p>
      <w:pPr>
        <w:pStyle w:val="Normal1"/>
        <w:numPr>
          <w:ilvl w:val="0"/>
          <w:numId w:val="4"/>
        </w:numPr>
        <w:ind w:left="720" w:hanging="360"/>
        <w:jc w:val="both"/>
        <w:rPr>
          <w:lang w:val="ru-RU"/>
        </w:rPr>
      </w:pPr>
      <w:r>
        <w:rPr>
          <w:lang w:val="ru-RU"/>
        </w:rPr>
        <w:t>Выручка за период и помесячно в разрезе 5 клиентских категорий.</w:t>
      </w:r>
    </w:p>
    <w:p>
      <w:pPr>
        <w:pStyle w:val="Normal1"/>
        <w:numPr>
          <w:ilvl w:val="0"/>
          <w:numId w:val="4"/>
        </w:numPr>
        <w:ind w:left="720" w:hanging="360"/>
        <w:jc w:val="both"/>
        <w:rPr>
          <w:lang w:val="ru-RU"/>
        </w:rPr>
      </w:pPr>
      <w:r>
        <w:rPr>
          <w:lang w:val="ru-RU"/>
        </w:rPr>
        <w:t>Средний заказ в £ за период в целом и по каждой категории. Рассчитывается как выручка, деленная на количество заказов.</w:t>
      </w:r>
    </w:p>
    <w:p>
      <w:pPr>
        <w:pStyle w:val="Normal1"/>
        <w:numPr>
          <w:ilvl w:val="0"/>
          <w:numId w:val="4"/>
        </w:numPr>
        <w:ind w:left="720" w:hanging="360"/>
        <w:jc w:val="both"/>
        <w:rPr>
          <w:lang w:val="ru-RU"/>
        </w:rPr>
      </w:pPr>
      <w:r>
        <w:rPr>
          <w:lang w:val="ru-RU"/>
        </w:rPr>
        <w:t>Repeat customers (RC) - доля клиентов, совершивших больше одной покупки за рассматриваемый период. Рассчитывается двумя способами: как доля в выручке и как доля в количестве клиентов.</w:t>
      </w:r>
    </w:p>
    <w:p>
      <w:pPr>
        <w:pStyle w:val="Normal1"/>
        <w:numPr>
          <w:ilvl w:val="0"/>
          <w:numId w:val="4"/>
        </w:numPr>
        <w:ind w:left="720" w:hanging="360"/>
        <w:jc w:val="both"/>
        <w:rPr>
          <w:lang w:val="ru-RU"/>
        </w:rPr>
      </w:pPr>
      <w:r>
        <w:rPr>
          <w:lang w:val="ru-RU"/>
        </w:rPr>
        <w:t>Количество клиентов с несколькими заказами (repeat customers) и единоразовых (one-time customer) по категориям (в процентном и абсолютном выражении).</w:t>
      </w:r>
    </w:p>
    <w:p>
      <w:pPr>
        <w:pStyle w:val="Normal1"/>
        <w:numPr>
          <w:ilvl w:val="0"/>
          <w:numId w:val="4"/>
        </w:numPr>
        <w:ind w:left="720" w:hanging="360"/>
        <w:jc w:val="both"/>
        <w:rPr>
          <w:lang w:val="ru-RU"/>
        </w:rPr>
      </w:pPr>
      <w:r>
        <w:rPr>
          <w:lang w:val="ru-RU"/>
        </w:rPr>
        <w:t>Диверсификация продаж по географическому и категориальным признакам.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</w:r>
    </w:p>
    <w:p>
      <w:pPr>
        <w:pStyle w:val="Normal1"/>
        <w:jc w:val="both"/>
        <w:rPr>
          <w:lang w:val="ru-RU"/>
        </w:rPr>
      </w:pPr>
      <w:r>
        <w:rPr>
          <w:u w:val="single"/>
          <w:lang w:val="ru-RU"/>
        </w:rPr>
        <w:t>Ограничения и допущения: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lang w:val="ru-RU"/>
        </w:rPr>
      </w:pPr>
      <w:r>
        <w:rPr>
          <w:lang w:val="ru-RU"/>
        </w:rPr>
        <w:t>Допустим, что глобальная долгосрочная цель компании - максимизация прибыли через рост доходов.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lang w:val="ru-RU"/>
        </w:rPr>
      </w:pPr>
      <w:r>
        <w:rPr>
          <w:lang w:val="ru-RU"/>
        </w:rPr>
        <w:t xml:space="preserve">Отметим следующие моменты, касающиеся качества и полноты данных: </w:t>
      </w:r>
    </w:p>
    <w:p>
      <w:pPr>
        <w:pStyle w:val="Normal1"/>
        <w:numPr>
          <w:ilvl w:val="0"/>
          <w:numId w:val="2"/>
        </w:numPr>
        <w:ind w:left="1842" w:hanging="360"/>
        <w:jc w:val="both"/>
        <w:rPr>
          <w:lang w:val="ru-RU"/>
        </w:rPr>
      </w:pPr>
      <w:r>
        <w:rPr>
          <w:lang w:val="ru-RU"/>
        </w:rPr>
        <w:t>Позиции с отрицательным количеством не рассматривались в рамках аналитики. Они включают различные корректировки остатков, списание испорченных товаров, возвраты/отмены товаров и т.д. InvoiceNo, начинающиеся на “C”, по всей видимости являются отменами/возвратами товара. Сопоставление с конкретными заказами можно сделать только вручную по каждой позиции, т.к. отсутствует признак, по которому ту или иную отмену можно отнести к конкретному заказу. Видим, что часть возвратов совершалась за товары, проданные ранее 1 декабря 2010, также заказы могут отменяться частями.</w:t>
      </w:r>
    </w:p>
    <w:p>
      <w:pPr>
        <w:pStyle w:val="Normal1"/>
        <w:numPr>
          <w:ilvl w:val="0"/>
          <w:numId w:val="2"/>
        </w:numPr>
        <w:ind w:left="1842" w:hanging="360"/>
        <w:jc w:val="both"/>
        <w:rPr>
          <w:lang w:val="ru-RU"/>
        </w:rPr>
      </w:pPr>
      <w:r>
        <w:rPr>
          <w:lang w:val="ru-RU"/>
        </w:rPr>
        <w:t>Поле Description имеет пустые строки и от руки написанные комментарии. Свидетельствует о том, что учет не автоматизирован и сотрудники могут вносить корректировки вручную. Исключаем эти данные из анализа.</w:t>
      </w:r>
    </w:p>
    <w:p>
      <w:pPr>
        <w:pStyle w:val="Normal1"/>
        <w:numPr>
          <w:ilvl w:val="0"/>
          <w:numId w:val="2"/>
        </w:numPr>
        <w:ind w:left="1842" w:hanging="360"/>
        <w:jc w:val="both"/>
        <w:rPr>
          <w:lang w:val="ru-RU"/>
        </w:rPr>
      </w:pPr>
      <w:r>
        <w:rPr>
          <w:lang w:val="ru-RU"/>
        </w:rPr>
        <w:t>Встречаются товары с нулевой стоимостью. Исключаем их из анализа.</w:t>
      </w:r>
    </w:p>
    <w:p>
      <w:pPr>
        <w:pStyle w:val="Normal1"/>
        <w:numPr>
          <w:ilvl w:val="0"/>
          <w:numId w:val="2"/>
        </w:numPr>
        <w:ind w:left="1842" w:hanging="360"/>
        <w:jc w:val="both"/>
        <w:rPr>
          <w:lang w:val="ru-RU"/>
        </w:rPr>
      </w:pPr>
      <w:r>
        <w:rPr>
          <w:lang w:val="ru-RU"/>
        </w:rPr>
        <w:t>Наличие заказов без CustomerID. Исключаем их из анализа.</w:t>
      </w:r>
    </w:p>
    <w:p>
      <w:pPr>
        <w:pStyle w:val="Normal1"/>
        <w:numPr>
          <w:ilvl w:val="0"/>
          <w:numId w:val="2"/>
        </w:numPr>
        <w:ind w:left="1842" w:hanging="360"/>
        <w:jc w:val="both"/>
        <w:rPr>
          <w:lang w:val="ru-RU"/>
        </w:rPr>
      </w:pPr>
      <w:r>
        <w:rPr>
          <w:lang w:val="ru-RU"/>
        </w:rPr>
        <w:t>Повторяющиеся строки (50 уникальных записей на общую сумму £</w:t>
      </w:r>
      <w:r>
        <w:rPr>
          <w:sz w:val="21"/>
          <w:szCs w:val="21"/>
          <w:highlight w:val="white"/>
          <w:lang w:val="ru-RU"/>
        </w:rPr>
        <w:t>226.08</w:t>
      </w:r>
      <w:r>
        <w:rPr>
          <w:lang w:val="ru-RU"/>
        </w:rPr>
        <w:t>, 100 записей -  вместе с повторами на общую сумму £452.1</w:t>
      </w:r>
      <w:r>
        <w:rPr>
          <w:sz w:val="21"/>
          <w:szCs w:val="21"/>
          <w:highlight w:val="white"/>
          <w:lang w:val="ru-RU"/>
        </w:rPr>
        <w:t>6</w:t>
      </w:r>
      <w:r>
        <w:rPr>
          <w:lang w:val="ru-RU"/>
        </w:rPr>
        <w:t>). Сумма не критичная, будем считать, что одна позиция в заказе разбита на 2 строки.</w:t>
      </w:r>
    </w:p>
    <w:p>
      <w:pPr>
        <w:pStyle w:val="Normal1"/>
        <w:numPr>
          <w:ilvl w:val="0"/>
          <w:numId w:val="2"/>
        </w:numPr>
        <w:ind w:left="1842" w:hanging="360"/>
        <w:jc w:val="both"/>
        <w:rPr>
          <w:lang w:val="ru-RU"/>
        </w:rPr>
      </w:pPr>
      <w:r>
        <w:rPr>
          <w:lang w:val="ru-RU"/>
        </w:rPr>
        <w:t>6 клиентов, для которых заказы отправлялись в 2 разные страны. Будем считать, что это, например, различные филиалы одного и того же клиента либо подарки клиента физ.лица родственникам и знакомым, отправленные напрямую в другую страну.</w:t>
      </w:r>
    </w:p>
    <w:p>
      <w:pPr>
        <w:pStyle w:val="Normal1"/>
        <w:numPr>
          <w:ilvl w:val="0"/>
          <w:numId w:val="2"/>
        </w:numPr>
        <w:ind w:left="1842" w:hanging="360"/>
        <w:jc w:val="both"/>
        <w:rPr>
          <w:lang w:val="ru-RU"/>
        </w:rPr>
      </w:pPr>
      <w:r>
        <w:rPr>
          <w:lang w:val="ru-RU"/>
        </w:rPr>
        <w:t>Для анализа маржинальности бизнеса не хватает данных о себестоимости продаж, расходах на маркетинг и рекламу.</w:t>
      </w:r>
    </w:p>
    <w:p>
      <w:pPr>
        <w:pStyle w:val="Normal1"/>
        <w:numPr>
          <w:ilvl w:val="0"/>
          <w:numId w:val="2"/>
        </w:numPr>
        <w:ind w:left="1842" w:hanging="360"/>
        <w:jc w:val="both"/>
        <w:rPr>
          <w:lang w:val="ru-RU"/>
        </w:rPr>
      </w:pPr>
      <w:r>
        <w:rPr>
          <w:lang w:val="ru-RU"/>
        </w:rPr>
        <w:t>Также не хватает сопоставления с данными предыдущих лет.</w:t>
      </w:r>
    </w:p>
    <w:p>
      <w:pPr>
        <w:pStyle w:val="Normal1"/>
        <w:ind w:left="216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1"/>
        <w:numPr>
          <w:ilvl w:val="0"/>
          <w:numId w:val="6"/>
        </w:numPr>
        <w:ind w:left="708" w:hanging="360"/>
        <w:jc w:val="both"/>
        <w:rPr>
          <w:lang w:val="ru-RU"/>
        </w:rPr>
      </w:pPr>
      <w:r>
        <w:rPr>
          <w:lang w:val="ru-RU"/>
        </w:rPr>
        <w:t>Дашборд построен на основе данных о выручке, полученной за рассматриваемый период, в разрезе заказов и клиентов.</w:t>
      </w:r>
    </w:p>
    <w:p>
      <w:pPr>
        <w:pStyle w:val="Normal1"/>
        <w:ind w:left="720" w:hanging="0"/>
        <w:jc w:val="both"/>
        <w:rPr>
          <w:highlight w:val="yellow"/>
          <w:lang w:val="ru-RU"/>
        </w:rPr>
      </w:pPr>
      <w:r>
        <w:rPr>
          <w:highlight w:val="yellow"/>
          <w:lang w:val="ru-RU"/>
        </w:rPr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lang w:val="ru-RU"/>
        </w:rPr>
      </w:pPr>
      <w:r>
        <w:rPr>
          <w:lang w:val="ru-RU"/>
        </w:rPr>
        <w:t>Компания работает с оптовыми и розничными покупателями. Допустим, что в компании принято разделять клиентов на 5 категорий, исходя из объема выручки, который они принесли за рассматриваемый период:</w:t>
      </w:r>
    </w:p>
    <w:p>
      <w:pPr>
        <w:pStyle w:val="Normal1"/>
        <w:ind w:left="720" w:hanging="0"/>
        <w:jc w:val="both"/>
        <w:rPr>
          <w:lang w:val="ru-RU"/>
        </w:rPr>
      </w:pPr>
      <w:r>
        <w:rPr>
          <w:lang w:val="ru-RU"/>
        </w:rPr>
        <w:t xml:space="preserve"> </w:t>
      </w:r>
    </w:p>
    <w:tbl>
      <w:tblPr>
        <w:tblStyle w:val="Table1"/>
        <w:tblW w:w="5430" w:type="dxa"/>
        <w:jc w:val="left"/>
        <w:tblInd w:w="16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14"/>
        <w:gridCol w:w="3615"/>
      </w:tblGrid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Название группы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Объем выручки от клиента за год</w:t>
            </w:r>
          </w:p>
        </w:tc>
      </w:tr>
      <w:tr>
        <w:trPr>
          <w:trHeight w:val="191" w:hRule="atLeast"/>
        </w:trPr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Group A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&lt;£50</w:t>
            </w:r>
          </w:p>
        </w:tc>
      </w:tr>
      <w:tr>
        <w:trPr>
          <w:trHeight w:val="161" w:hRule="atLeast"/>
        </w:trPr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Group B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£50-£500</w:t>
            </w:r>
          </w:p>
        </w:tc>
      </w:tr>
      <w:tr>
        <w:trPr>
          <w:trHeight w:val="266" w:hRule="atLeast"/>
        </w:trPr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Group C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£500-£5000</w:t>
            </w:r>
          </w:p>
        </w:tc>
      </w:tr>
      <w:tr>
        <w:trPr>
          <w:trHeight w:val="236" w:hRule="atLeast"/>
        </w:trPr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Group D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£5000-£10000</w:t>
            </w:r>
          </w:p>
        </w:tc>
      </w:tr>
      <w:tr>
        <w:trPr>
          <w:trHeight w:val="281" w:hRule="atLeast"/>
        </w:trPr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Group E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&gt;£10000</w:t>
            </w:r>
          </w:p>
        </w:tc>
      </w:tr>
    </w:tbl>
    <w:p>
      <w:pPr>
        <w:pStyle w:val="Normal1"/>
        <w:jc w:val="both"/>
        <w:rPr>
          <w:lang w:val="ru-RU"/>
        </w:rPr>
      </w:pPr>
      <w:r>
        <w:rPr>
          <w:lang w:val="ru-RU"/>
        </w:rPr>
      </w:r>
    </w:p>
    <w:p>
      <w:pPr>
        <w:pStyle w:val="Normal1"/>
        <w:numPr>
          <w:ilvl w:val="0"/>
          <w:numId w:val="7"/>
        </w:numPr>
        <w:ind w:left="720" w:hanging="360"/>
        <w:jc w:val="both"/>
        <w:rPr>
          <w:lang w:val="ru-RU"/>
        </w:rPr>
      </w:pPr>
      <w:r>
        <w:rPr>
          <w:lang w:val="ru-RU"/>
        </w:rPr>
        <w:t>Предполагаем, что на текущий момент в компании отсутствует система лояльности. Скидки, предоставляемые клиентам, носят индивидуальный характер. Ниже приведено суммарный объем скидок (Description == Discounts). Видим, что связь между категорией клиента и % скидки отсутствует.</w:t>
      </w:r>
    </w:p>
    <w:p>
      <w:pPr>
        <w:pStyle w:val="Normal1"/>
        <w:ind w:left="0" w:hanging="0"/>
        <w:jc w:val="both"/>
        <w:rPr>
          <w:lang w:val="ru-RU"/>
        </w:rPr>
      </w:pPr>
      <w:r>
        <w:rPr>
          <w:lang w:val="ru-RU"/>
        </w:rPr>
      </w:r>
    </w:p>
    <w:tbl>
      <w:tblPr>
        <w:tblStyle w:val="Table2"/>
        <w:tblW w:w="6525" w:type="dxa"/>
        <w:jc w:val="left"/>
        <w:tblInd w:w="0" w:type="dxa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1274"/>
        <w:gridCol w:w="1606"/>
        <w:gridCol w:w="1245"/>
        <w:gridCol w:w="2399"/>
      </w:tblGrid>
      <w:tr>
        <w:trPr>
          <w:trHeight w:val="300" w:hRule="atLeast"/>
        </w:trPr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CustomerID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Country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Discount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Revenue groups</w:t>
            </w:r>
          </w:p>
        </w:tc>
      </w:tr>
      <w:tr>
        <w:trPr>
          <w:trHeight w:val="300" w:hRule="atLeast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14646</w:t>
            </w:r>
          </w:p>
        </w:tc>
        <w:tc>
          <w:tcPr>
            <w:tcW w:w="1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Netherlands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0,8%</w:t>
            </w:r>
          </w:p>
        </w:tc>
        <w:tc>
          <w:tcPr>
            <w:tcW w:w="23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Group A (&gt;£10000)</w:t>
            </w:r>
          </w:p>
        </w:tc>
      </w:tr>
      <w:tr>
        <w:trPr>
          <w:trHeight w:val="300" w:hRule="atLeast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17450</w:t>
            </w:r>
          </w:p>
        </w:tc>
        <w:tc>
          <w:tcPr>
            <w:tcW w:w="1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United Kingdom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0,4%</w:t>
            </w:r>
          </w:p>
        </w:tc>
        <w:tc>
          <w:tcPr>
            <w:tcW w:w="23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Group A (&gt;£10000)</w:t>
            </w:r>
          </w:p>
        </w:tc>
      </w:tr>
      <w:tr>
        <w:trPr>
          <w:trHeight w:val="300" w:hRule="atLeast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13694</w:t>
            </w:r>
          </w:p>
        </w:tc>
        <w:tc>
          <w:tcPr>
            <w:tcW w:w="1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United Kingdom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0,8%</w:t>
            </w:r>
          </w:p>
        </w:tc>
        <w:tc>
          <w:tcPr>
            <w:tcW w:w="23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Group B (£5000-£10000)</w:t>
            </w:r>
          </w:p>
        </w:tc>
      </w:tr>
      <w:tr>
        <w:trPr>
          <w:trHeight w:val="300" w:hRule="atLeast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16029</w:t>
            </w:r>
          </w:p>
        </w:tc>
        <w:tc>
          <w:tcPr>
            <w:tcW w:w="1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United Kingdom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0,2%</w:t>
            </w:r>
          </w:p>
        </w:tc>
        <w:tc>
          <w:tcPr>
            <w:tcW w:w="23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Group B (£5000-£10000)</w:t>
            </w:r>
          </w:p>
        </w:tc>
      </w:tr>
      <w:tr>
        <w:trPr>
          <w:trHeight w:val="300" w:hRule="atLeast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17340</w:t>
            </w:r>
          </w:p>
        </w:tc>
        <w:tc>
          <w:tcPr>
            <w:tcW w:w="1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United Kingdom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28,7%</w:t>
            </w:r>
          </w:p>
        </w:tc>
        <w:tc>
          <w:tcPr>
            <w:tcW w:w="23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Group C (£500-£5000)</w:t>
            </w:r>
          </w:p>
        </w:tc>
      </w:tr>
      <w:tr>
        <w:trPr>
          <w:trHeight w:val="300" w:hRule="atLeast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13408</w:t>
            </w:r>
          </w:p>
        </w:tc>
        <w:tc>
          <w:tcPr>
            <w:tcW w:w="1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United Kingdom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9,1%</w:t>
            </w:r>
          </w:p>
        </w:tc>
        <w:tc>
          <w:tcPr>
            <w:tcW w:w="23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Group C (£500-£5000)</w:t>
            </w:r>
          </w:p>
        </w:tc>
      </w:tr>
      <w:tr>
        <w:trPr>
          <w:trHeight w:val="300" w:hRule="atLeast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14527</w:t>
            </w:r>
          </w:p>
        </w:tc>
        <w:tc>
          <w:tcPr>
            <w:tcW w:w="1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United Kingdom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5,8%</w:t>
            </w:r>
          </w:p>
        </w:tc>
        <w:tc>
          <w:tcPr>
            <w:tcW w:w="23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Group C (£500-£5000)</w:t>
            </w:r>
          </w:p>
        </w:tc>
      </w:tr>
      <w:tr>
        <w:trPr>
          <w:trHeight w:val="300" w:hRule="atLeast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15498</w:t>
            </w:r>
          </w:p>
        </w:tc>
        <w:tc>
          <w:tcPr>
            <w:tcW w:w="1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United Kingdom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2,4%</w:t>
            </w:r>
          </w:p>
        </w:tc>
        <w:tc>
          <w:tcPr>
            <w:tcW w:w="23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Group C (£500-£5000)</w:t>
            </w:r>
          </w:p>
        </w:tc>
      </w:tr>
      <w:tr>
        <w:trPr>
          <w:trHeight w:val="300" w:hRule="atLeast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12901</w:t>
            </w:r>
          </w:p>
        </w:tc>
        <w:tc>
          <w:tcPr>
            <w:tcW w:w="1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United Kingdom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0,3%</w:t>
            </w:r>
          </w:p>
        </w:tc>
        <w:tc>
          <w:tcPr>
            <w:tcW w:w="23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Group C (£500-£5000)</w:t>
            </w:r>
          </w:p>
        </w:tc>
      </w:tr>
      <w:tr>
        <w:trPr>
          <w:trHeight w:val="300" w:hRule="atLeast"/>
        </w:trPr>
        <w:tc>
          <w:tcPr>
            <w:tcW w:w="1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18167</w:t>
            </w:r>
          </w:p>
        </w:tc>
        <w:tc>
          <w:tcPr>
            <w:tcW w:w="1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United Kingdom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4,6%</w:t>
            </w:r>
          </w:p>
        </w:tc>
        <w:tc>
          <w:tcPr>
            <w:tcW w:w="23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Group D (£50-£500)</w:t>
            </w:r>
          </w:p>
        </w:tc>
      </w:tr>
    </w:tbl>
    <w:p>
      <w:pPr>
        <w:pStyle w:val="Normal1"/>
        <w:ind w:left="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1"/>
        <w:ind w:left="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1"/>
        <w:ind w:left="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lang w:val="ru-RU"/>
        </w:rPr>
      </w:pPr>
      <w:r>
        <w:rPr>
          <w:b/>
          <w:lang w:val="ru-RU"/>
        </w:rPr>
        <w:t>Бизнес-заказчик и его цели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>В качестве бизнес-заказчика выступает Директор по маркетингу. В своей стратегии компания делает упор на увеличение доходов. Основным источником роста является работа с клиентами. Компания сегментирует клиентов по объемы выручки и географии поставок.</w:t>
      </w:r>
    </w:p>
    <w:p>
      <w:pPr>
        <w:pStyle w:val="Normal1"/>
        <w:jc w:val="both"/>
        <w:rPr>
          <w:highlight w:val="yellow"/>
          <w:lang w:val="ru-RU"/>
        </w:rPr>
      </w:pPr>
      <w:r>
        <w:rPr>
          <w:highlight w:val="yellow"/>
          <w:lang w:val="ru-RU"/>
        </w:rPr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>Достижение основной цели - увеличения доходов - планируется обеспечить за счет двух составляющих: лояльной клиентской базы с более высокой средней стоимостью заказа. Лояльные клиенты определяются с помощью показателя repeat customer (в целом и для каждой категории клиентов). Средняя стоимость заказа в разрезе категорий клиентов является индикатором эффективности продаж.</w:t>
      </w:r>
    </w:p>
    <w:p>
      <w:pPr>
        <w:pStyle w:val="Normal1"/>
        <w:jc w:val="both"/>
        <w:rPr>
          <w:b/>
          <w:b/>
          <w:sz w:val="27"/>
          <w:szCs w:val="27"/>
          <w:lang w:val="ru-RU"/>
        </w:rPr>
      </w:pPr>
      <w:r>
        <w:rPr>
          <w:b/>
          <w:sz w:val="27"/>
          <w:szCs w:val="27"/>
          <w:lang w:val="ru-RU"/>
        </w:rPr>
      </w:r>
    </w:p>
    <w:p>
      <w:pPr>
        <w:pStyle w:val="Normal1"/>
        <w:jc w:val="both"/>
        <w:rPr>
          <w:b/>
          <w:b/>
          <w:sz w:val="27"/>
          <w:szCs w:val="27"/>
          <w:lang w:val="ru-RU"/>
        </w:rPr>
      </w:pPr>
      <w:r>
        <w:rPr>
          <w:b/>
          <w:sz w:val="27"/>
          <w:szCs w:val="27"/>
          <w:lang w:val="ru-RU"/>
        </w:rPr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lang w:val="ru-RU"/>
        </w:rPr>
      </w:pPr>
      <w:r>
        <w:rPr>
          <w:b/>
          <w:lang w:val="ru-RU"/>
        </w:rPr>
        <w:t>Гипотезы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>Дашборд призван проверить следующие гипотезы:</w:t>
      </w:r>
    </w:p>
    <w:p>
      <w:pPr>
        <w:pStyle w:val="Normal1"/>
        <w:numPr>
          <w:ilvl w:val="0"/>
          <w:numId w:val="3"/>
        </w:numPr>
        <w:ind w:left="720" w:hanging="360"/>
        <w:jc w:val="both"/>
        <w:rPr>
          <w:lang w:val="ru-RU"/>
        </w:rPr>
      </w:pPr>
      <w:r>
        <w:rPr>
          <w:lang w:val="ru-RU"/>
        </w:rPr>
        <w:t>Доля лояльных клиентов (repeat customers) составляет не менее 50% от общего числа клиентов.</w:t>
      </w:r>
    </w:p>
    <w:p>
      <w:pPr>
        <w:pStyle w:val="Normal1"/>
        <w:numPr>
          <w:ilvl w:val="0"/>
          <w:numId w:val="3"/>
        </w:numPr>
        <w:ind w:left="720" w:hanging="360"/>
        <w:jc w:val="both"/>
        <w:rPr>
          <w:lang w:val="ru-RU"/>
        </w:rPr>
      </w:pPr>
      <w:r>
        <w:rPr>
          <w:lang w:val="ru-RU"/>
        </w:rPr>
        <w:t>Лояльные клиенты приносят нам порядка 80% выручки.</w:t>
      </w:r>
    </w:p>
    <w:p>
      <w:pPr>
        <w:pStyle w:val="Normal1"/>
        <w:numPr>
          <w:ilvl w:val="0"/>
          <w:numId w:val="3"/>
        </w:numPr>
        <w:ind w:left="720" w:hanging="360"/>
        <w:jc w:val="both"/>
        <w:rPr>
          <w:lang w:val="ru-RU"/>
        </w:rPr>
      </w:pPr>
      <w:r>
        <w:rPr>
          <w:lang w:val="ru-RU"/>
        </w:rPr>
        <w:t xml:space="preserve">Количество повторных покупок среди оптовых клиентов (Group A, B, C, D) - не менее 70%, тогда как розничных (Group E) - 30%. </w:t>
      </w:r>
    </w:p>
    <w:p>
      <w:pPr>
        <w:pStyle w:val="Normal1"/>
        <w:numPr>
          <w:ilvl w:val="0"/>
          <w:numId w:val="3"/>
        </w:numPr>
        <w:ind w:left="720" w:hanging="360"/>
        <w:jc w:val="both"/>
        <w:rPr>
          <w:lang w:val="ru-RU"/>
        </w:rPr>
      </w:pPr>
      <w:r>
        <w:rPr>
          <w:lang w:val="ru-RU"/>
        </w:rPr>
        <w:t>Основу нашей клиентской базы составляют Group D и Group C. Вместе они приносят компании не менее 60% выручки.</w:t>
      </w:r>
    </w:p>
    <w:p>
      <w:pPr>
        <w:pStyle w:val="Normal1"/>
        <w:numPr>
          <w:ilvl w:val="0"/>
          <w:numId w:val="3"/>
        </w:numPr>
        <w:ind w:left="720" w:hanging="360"/>
        <w:jc w:val="both"/>
        <w:rPr>
          <w:lang w:val="ru-RU"/>
        </w:rPr>
      </w:pPr>
      <w:r>
        <w:rPr>
          <w:lang w:val="ru-RU"/>
        </w:rPr>
        <w:t>Продажи диверсифицированы по географическому признаку - не менее 20% приходится на другие страны.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studio.google.com/reporting/142cfac9-4e26-48d7-8832-88ece3b5206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3</Pages>
  <Words>762</Words>
  <Characters>4589</Characters>
  <CharactersWithSpaces>5240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2021-12-02T15:24:44Z</dcterms:modified>
  <cp:revision>1</cp:revision>
  <dc:subject/>
  <dc:title/>
</cp:coreProperties>
</file>