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尊敬的李十同学：</w:t>
      </w:r>
    </w:p>
    <w:p>
      <w:pPr>
        <w:pStyle w:val="af5"/>
      </w:pPr>
      <w:r>
        <w:t>你在本次考试中表现优异，获得了84分的好成绩。在此，学校颁发给你此奖状一份，以资鼓励！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