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광고 법무 검토 보고서</w:t>
      </w:r>
    </w:p>
    <w:p>
      <w:pPr>
        <w:spacing w:after="80" w:before="80"/>
      </w:pPr>
      <w:r>
        <w:rPr>
          <w:b/>
          <w:bCs/>
        </w:rPr>
        <w:t xml:space="preserve">광고 유형:</w:t>
      </w:r>
      <w:r>
        <w:t xml:space="preserve"> 블로그(SEO 매거진 콘텐츠)</w:t>
      </w:r>
    </w:p>
    <w:p>
      <w:pPr>
        <w:spacing w:after="80" w:before="80"/>
      </w:pPr>
      <w:r>
        <w:rPr>
          <w:b/>
          <w:bCs/>
        </w:rPr>
        <w:t xml:space="preserve">업종:</w:t>
      </w:r>
      <w:r>
        <w:t xml:space="preserve"> 온라인 클래스 플랫폼 (공예 강사 모집)</w:t>
      </w:r>
    </w:p>
    <w:p>
      <w:pPr>
        <w:spacing w:after="80" w:before="80"/>
      </w:pPr>
      <w:r>
        <w:rPr>
          <w:b/>
          <w:bCs/>
        </w:rPr>
        <w:t xml:space="preserve">검토자:</w:t>
      </w:r>
      <w:r>
        <w:t xml:space="preserve"> advertising-legal</w:t>
      </w:r>
    </w:p>
    <w:p>
      <w:pPr>
        <w:spacing w:after="80" w:before="80"/>
      </w:pPr>
      <w:r>
        <w:rPr>
          <w:b/>
          <w:bCs/>
        </w:rPr>
        <w:t xml:space="preserve">검토 기준 법령:</w:t>
      </w:r>
      <w:r>
        <w:t xml:space="preserve"> 표시·광고의 공정화에 관한 법률(표시광고법), 형법 제307~309조(명예훼손), 정보통신망 이용촉진 및 정보보호 등에 관한 법률 제70조(사이버명예훼손)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1. 리스크 등급 요약 표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검토 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위험도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주요 사유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본문 비교표 — 경쟁사 수수료 수치(35% / 25~30% / 20%)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표시광고법상 비교광고 실증책임 미충족 가능성. 수치 출처·확인 시점 불명확. 식별 가능한 경쟁사 대상 허위·불확실 정보 적시 시 민·형사 리스크.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실수령 추정표 — 경쟁사 수치로 산출한 금전 비교(195만 원 등)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불확실한 기초 수치(R-1)를 금전 환산해 확증적으로 제시하면 오인 유발 과장광고 및 명예훼손 위험 증폭.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FAQ #2 — "클래스1** 수수료 약 35% 수준으로 알려져 있으나"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"알려져 있으나" 표현은 전문(傳聞) 형식으로 책임을 분산하는 듯 보이나, 법적으로는 사실 적시 효과가 동일하게 발생함. 마스킹 후에도 식별 가능한 사업자를 특정해 수치를 공개 게시하는 행위에 해당.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R-4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SEO 디스크립션 — "86.7%를 보장하는 구조"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"보장"은 표시광고법·금융소비자보호법 맥락에서 과장·허위 표현으로 문제 될 수 있는 단어. 자사 수수료 구조 자체는 사실이나, "보장"이라는 단어가 수익 보장으로 오인될 여지 있음.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R-5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본문 말미 CTA — "강사 실수령 86.7%를 보장하는 사실에 기반한 약속"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"보장"+"약속" 병기는 수익 보장 표현으로 읽힐 수 있음. 강사 수익은 수강생 수·운영 횟수에 따라 달라지는데 고정 보장처럼 오인 유발 가능.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R-6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마스킹(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**</w:t>
            </w:r>
            <w:r>
              <w:t xml:space="preserve">) 처리의 법적 방어력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중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이하 별도 항목(섹션 4) 참조. 방어력 제한적이라 판단.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R-7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면책 문구(하단 1줄)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존재는 하나 위치(최하단 이탤릭)·분량이 부족함. 적용 범위를 경쟁사 수치에 한정해 명확히 연결해야 효과적.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R-8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"연간 수백만 원 차이가 날 수 있어" (리드·본문)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"수 있어" 조건부 표현으로 완화되어 있어 현 수준은 비교적 안전. 단 비교 수치가 불확실할 경우 이 표현도 덩달아 오인광고 범위에 들어옴.</w:t>
            </w:r>
          </w:p>
        </w:tc>
      </w:tr>
    </w:tbl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2. 항목별 교체 문구 (Before → After)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R-1 / R-2: 본문 비교표 및 실수령 추정표 — 경쟁사 수치</w:t>
      </w:r>
    </w:p>
    <w:p>
      <w:pPr>
        <w:spacing w:after="80" w:before="80"/>
      </w:pPr>
      <w:r>
        <w:rPr>
          <w:b/>
          <w:bCs/>
        </w:rPr>
        <w:t xml:space="preserve">[옵션 A] 수치 삭제 — 정성 표현 전환 (권고안)</w:t>
      </w:r>
    </w:p>
    <w:p>
      <w:pPr>
        <w:spacing w:after="80" w:before="80"/>
      </w:pPr>
      <w:r>
        <w:t xml:space="preserve">Before (비교표):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클래스1** | 공개 정책 기준 약 35% 수준 | 약 65% 수준 | 상품·계약별 상이, 직접 확인 권장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탈**     | 공개 정책 기준 약 25~30% 수준 | 약 70~75% 수준 | 조건별 상이, 직접 확인 권장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프**     | 공개 정책 기준 약 20% 수준 | 약 80% 수준 | 조건별 상이, 직접 확인 권장 |</w:t>
      </w:r>
    </w:p>
    <w:p>
      <w:pPr>
        <w:spacing w:after="80" w:before="80"/>
      </w:pPr>
    </w:p>
    <w:p>
      <w:pPr>
        <w:spacing w:after="80" w:before="80"/>
      </w:pPr>
      <w:r>
        <w:t xml:space="preserve">After (옵션 A):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클래스1** | 플랫폼·상품 유형·계약 조건에 따라 상이 | 플랫폼에서 직접 확인 | 공식 정책 페이지 참조 권장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탈**     | 플랫폼·상품 유형·계약 조건에 따라 상이 | 플랫폼에서 직접 확인 | 공식 정책 페이지 참조 권장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프**     | 플랫폼·상품 유형·계약 조건에 따라 상이 | 플랫폼에서 직접 확인 | 공식 정책 페이지 참조 권장 |</w:t>
      </w:r>
    </w:p>
    <w:p>
      <w:pPr>
        <w:spacing w:after="80" w:before="80"/>
      </w:pPr>
    </w:p>
    <w:p>
      <w:pPr>
        <w:spacing w:after="80" w:before="80"/>
      </w:pPr>
      <w:r>
        <w:t xml:space="preserve">Before (실수령 추정표 — 경쟁사 행):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클래스1** | 300만 원 | 약 105만 원 | 약 195만 원 | 약 2,340만 원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탈**     | 300만 원 | 약 82~90만 원 | 약 210~218만 원 | 약 2,520~2,616만 원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프**     | 300만 원 | 약 60만 원 | 약 240만 원 | 약 2,880만 원 |</w:t>
      </w:r>
    </w:p>
    <w:p>
      <w:pPr>
        <w:spacing w:after="80" w:before="80"/>
      </w:pPr>
    </w:p>
    <w:p>
      <w:pPr>
        <w:spacing w:after="80" w:before="80"/>
      </w:pPr>
      <w:r>
        <w:t xml:space="preserve">After (옵션 A) — 경쟁사 행 전체 삭제, 자사 단독 표 또는 1행만 유지: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| **오센틱아트** | 300만 원 | **39.9만 원** | **260.1만 원** | **약 3,121만 원** |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※ 타 플랫폼의 수수료 조건은 플랫폼·상품 유형·계약 내용에 따라 다르며,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정확한 수치는 각 플랫폼 공식 정책에서 직접 확인하시기 바랍니다.</w:t>
      </w:r>
    </w:p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[옵션 B] 수치 유지 — 출처·확인 시점 명시 (고위험, 조건부)</w:t>
      </w:r>
    </w:p>
    <w:p>
      <w:pPr>
        <w:spacing w:after="80" w:before="80"/>
      </w:pPr>
      <w:r>
        <w:t xml:space="preserve">옵션 B를 선택할 경우, 아래 조건을 모두 충족해야 최소한의 실증책임 근거가 됩니다.</w:t>
      </w:r>
    </w:p>
    <w:p>
      <w:pPr>
        <w:spacing w:after="80" w:before="80"/>
      </w:pPr>
      <w:r>
        <w:t xml:space="preserve">조건 1. 각 수치에 각주 번호 부착</w:t>
      </w:r>
    </w:p>
    <w:p>
      <w:pPr>
        <w:spacing w:after="80" w:before="80"/>
      </w:pPr>
      <w:r>
        <w:t xml:space="preserve">조건 2. 글 하단에 각주 형태로 출처 명시 (예: "¹ 클래스1** 수수료 구조: [공식 정책 URL] 2026년 6월 기준 확인")</w:t>
      </w:r>
    </w:p>
    <w:p>
      <w:pPr>
        <w:spacing w:after="80" w:before="80"/>
      </w:pPr>
      <w:r>
        <w:t xml:space="preserve">조건 3. 출처 URL이 실제로 해당 수치를 뒷받침하는 공식 페이지여야 함</w:t>
      </w:r>
    </w:p>
    <w:p>
      <w:pPr>
        <w:spacing w:after="80" w:before="80"/>
      </w:pPr>
      <w:r>
        <w:t xml:space="preserve">조건 4. URL 접근 불가 또는 수치 불일치 시 즉시 수정 대응 체계 필요</w:t>
      </w:r>
    </w:p>
    <w:p>
      <w:pPr>
        <w:spacing w:after="80" w:before="80"/>
      </w:pPr>
      <w:r>
        <w:t xml:space="preserve">실무 판단: </w:t>
      </w:r>
      <w:r>
        <w:rPr>
          <w:b/>
          <w:bCs/>
        </w:rPr>
        <w:t xml:space="preserve">옵션 B는 공식 정책 페이지에서 정확히 일치하는 수치를 확인했을 때만 적용 가능</w:t>
      </w:r>
      <w:r>
        <w:t xml:space="preserve">합니다. "알려진 수준", "추정" 표현과 함께 수치를 게시하는 현재 방식은 옵션 B 요건을 충족하지 못합니다.</w:t>
      </w:r>
    </w:p>
    <w:p>
      <w:pPr>
        <w:spacing w:after="80" w:before="80"/>
      </w:pPr>
      <w:r>
        <w:rPr>
          <w:b/>
          <w:bCs/>
        </w:rPr>
        <w:t xml:space="preserve">권고안: 옵션 A 적용.</w:t>
      </w:r>
      <w:r>
        <w:t xml:space="preserve"> 경쟁사 수치는 삭제하고, 자사 수치만 명확히 제시하며 경쟁사는 "직접 확인 권장"으로 전환합니다. 이것이 실증책임 부담을 없애고 명예훼손 리스크를 실질적으로 제거하는 유일한 방법입니다.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R-3: FAQ #2 — 클래스1** 수수료 35% 표현</w:t>
      </w:r>
    </w:p>
    <w:p>
      <w:pPr>
        <w:spacing w:after="80" w:before="80"/>
      </w:pPr>
      <w:r>
        <w:t xml:space="preserve">Before: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"클래스1**의 강사 수수료는 공개 정책 기준 약 35% 수준으로 알려져 있으나, 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상품·계약 조건에 따라 달라질 수 있어 가입 전 직접 확인을 권장합니다."</w:t>
      </w:r>
    </w:p>
    <w:p>
      <w:pPr>
        <w:spacing w:after="80" w:before="80"/>
      </w:pPr>
    </w:p>
    <w:p>
      <w:pPr>
        <w:spacing w:after="80" w:before="80"/>
      </w:pPr>
      <w:r>
        <w:t xml:space="preserve">After (옵션 A 적용):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"클래스1**의 수수료 구조는 플랫폼·상품 유형·계약 조건에 따라 다르며,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정확한 내용은 해당 플랫폼 공식 정책 페이지에서 직접 확인하시기 바랍니다."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R-4: SEO 디스크립션 "86.7%를 보장하는 구조"</w:t>
      </w:r>
    </w:p>
    <w:p>
      <w:pPr>
        <w:spacing w:after="80" w:before="80"/>
      </w:pPr>
      <w:r>
        <w:t xml:space="preserve">Before: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"오센틱아트는 PG 포함 13.3%만 공제해 강사 실수령 86.7%를 보장하는 구조입니다."</w:t>
      </w:r>
    </w:p>
    <w:p>
      <w:pPr>
        <w:spacing w:after="80" w:before="80"/>
      </w:pPr>
    </w:p>
    <w:p>
      <w:pPr>
        <w:spacing w:after="80" w:before="80"/>
      </w:pPr>
      <w:r>
        <w:t xml:space="preserve">After: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"오센틱아트는 PG 포함 13.3%만 공제해 강사 실수령 86.7%가 적용되는 구조입니다."</w:t>
      </w:r>
    </w:p>
    <w:p>
      <w:pPr>
        <w:spacing w:after="80" w:before="80"/>
      </w:pPr>
    </w:p>
    <w:p>
      <w:pPr>
        <w:spacing w:after="80" w:before="80"/>
      </w:pPr>
      <w:r>
        <w:t xml:space="preserve">수정 포인트: "보장하는" → "가 적용되는" (수수료 구조 사실을 서술하는 표현으로 전환)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R-5: 말미 CTA "86.7%를 보장하는 사실에 기반한 약속"</w:t>
      </w:r>
    </w:p>
    <w:p>
      <w:pPr>
        <w:spacing w:after="80" w:before="80"/>
      </w:pPr>
      <w:r>
        <w:t xml:space="preserve">Before: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"오센틱아트는 PG 3.3%+플랫폼 10% = 13.3% 고정 수수료 구조로 강사 실수령 86.7%를 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보장하는 사실에 기반한 약속입니다."</w:t>
      </w:r>
    </w:p>
    <w:p>
      <w:pPr>
        <w:spacing w:after="80" w:before="80"/>
      </w:pPr>
    </w:p>
    <w:p>
      <w:pPr>
        <w:spacing w:after="80" w:before="80"/>
      </w:pPr>
      <w:r>
        <w:t xml:space="preserve">After: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"오센틱아트는 PG 3.3%+플랫폼 10% = 13.3% 고정 수수료 구조이며, 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강사 실수령 비율 86.7%는 이 구조에서 산출되는 수치입니다."</w:t>
      </w:r>
    </w:p>
    <w:p>
      <w:pPr>
        <w:spacing w:after="80" w:before="80"/>
      </w:pPr>
    </w:p>
    <w:p>
      <w:pPr>
        <w:spacing w:after="80" w:before="80"/>
      </w:pPr>
      <w:r>
        <w:t xml:space="preserve">수정 포인트: "보장하는 약속" 삭제 → 수수료 구조의 사실적 서술로 대체</w:t>
      </w:r>
    </w:p>
    <w:p>
      <w:pPr>
        <w:pStyle w:val="Heading3"/>
        <w:spacing w:after="80" w:before="240"/>
      </w:pPr>
      <w:r>
        <w:rPr>
          <w:b/>
          <w:bCs/>
          <w:color w:val="1A1A2E"/>
          <w:sz w:val="24"/>
          <w:szCs w:val="24"/>
        </w:rPr>
        <w:t xml:space="preserve">R-7: 면책 문구 위치 및 내용 보강</w:t>
      </w:r>
    </w:p>
    <w:p>
      <w:pPr>
        <w:spacing w:after="80" w:before="80"/>
      </w:pPr>
      <w:r>
        <w:t xml:space="preserve">Before (하단 1줄):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*본 글의 타 플랫폼 정책은 2026년 6월 작성 시점 공개 정보 기준이며 변동될 수 있습니다. 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정확한 조건은 각 사 공지에서 확인하세요.*</w:t>
      </w:r>
    </w:p>
    <w:p>
      <w:pPr>
        <w:spacing w:after="80" w:before="80"/>
      </w:pPr>
    </w:p>
    <w:p>
      <w:pPr>
        <w:spacing w:after="80" w:before="80"/>
      </w:pPr>
      <w:r>
        <w:t xml:space="preserve">After (옵션 A 적용 후에도 유지, 비교표 직후에도 추가):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[비교표 하단에 추가]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※ 위 표에서 오센틱아트 수수료(13.3% 공제, 강사 실수령 86.7%)는 플랫폼 적용 기준의 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확정된 수치입니다. 타 플랫폼 정보란은 각 플랫폼 공식 채널에서 직접 확인하시기 바랍니다.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[하단 면책 문구 — 현행 유지 + 명확화]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*이 글에서 타 플랫폼에 관한 내용은 2026년 6월 작성 시점 공개된 정보를 기반으로 하며,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이후 변동될 수 있습니다. 정확한 수수료·계약 조건은 각 플랫폼 공식 채널에서 반드시 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직접 확인하시기 바랍니다. 이 글은 특정 플랫폼을 폄하할 의도로 작성되지 않았습니다.*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3. 자사 표현 점검 — "86.7%" 단정 허용 범위</w:t>
      </w:r>
    </w:p>
    <w:p>
      <w:pPr>
        <w:spacing w:after="80" w:before="80"/>
      </w:pPr>
      <w:r>
        <w:rPr>
          <w:b/>
          <w:bCs/>
        </w:rPr>
        <w:t xml:space="preserve">판단:</w:t>
      </w:r>
      <w:r>
        <w:t xml:space="preserve"> 오센틱아트 수수료 구조(PG 3.3% + 플랫폼 10% = 13.3% 공제, 강사 86.7% 수령)는 확정된 자사 정책 사실이므로, 해당 수치를 명시하는 것은 표시광고법상 허용되는 사실 표현 범위 내에 있습니다.</w:t>
      </w:r>
    </w:p>
    <w:p>
      <w:pPr>
        <w:spacing w:after="80" w:before="80"/>
      </w:pPr>
      <w:r>
        <w:t xml:space="preserve">단, 다음 표현 구분이 필요합니다.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표현 유형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예시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허용 여부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 구조 서술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"PG 3.3% + 플랫폼 10% = 13.3% 공제"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허용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확정된 자사 정책 사실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수령 비율 서술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"강사 실수령 86.7%"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허용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수수료 구조에서 산출되는 확정 수치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수익 보장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"86.7% 수령을 </w:t>
            </w:r>
            <w:r>
              <w:rPr>
                <w:b/>
                <w:bCs/>
              </w:rPr>
              <w:t xml:space="preserve">보장</w:t>
            </w:r>
            <w:r>
              <w:t xml:space="preserve">", "86.7% </w:t>
            </w:r>
            <w:r>
              <w:rPr>
                <w:b/>
                <w:bCs/>
              </w:rPr>
              <w:t xml:space="preserve">약속</w:t>
            </w:r>
            <w:r>
              <w:t xml:space="preserve">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주의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 자체를 보장하는 표현으로 오인 가능. 수수료 구조를 서술하는 표현으로 교체 권장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수익 예측 수치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"월 260만 원 실수령"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조건부 허용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"수강생 수·운영 횟수에 따라 달라짐" 단서 필수. 현행 FAQ #4, 본문 말미에 이미 단서 포함되어 있어 수준 유지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최상급 표현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"가장 낮은 수수료"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주의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비교 근거 없으면 절대적 표현으로 문제. FAQ #1 질문에 이미 있음 — 아래 별도 지적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b/>
          <w:bCs/>
        </w:rPr>
        <w:t xml:space="preserve">FAQ #1 질문 표현 추가 지적: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질문: "공예 강사 수수료가 가장 낮은 플랫폼은 어디인가요?"</w:t>
      </w:r>
    </w:p>
    <w:p>
      <w:pPr>
        <w:spacing w:after="80" w:before="80"/>
      </w:pPr>
    </w:p>
    <w:p>
      <w:pPr>
        <w:spacing w:after="80" w:before="80"/>
      </w:pPr>
      <w:r>
        <w:t xml:space="preserve">이 질문 자체가 "가장 낮은" 전제를 담고 있어, 오센틱아트가 절대 최저 수수료임을 암시합니다. 이에 대한 실증 근거가 없다면 주의가 필요합니다.</w:t>
      </w:r>
    </w:p>
    <w:p>
      <w:pPr>
        <w:spacing w:after="80" w:before="80"/>
      </w:pPr>
      <w:r>
        <w:t xml:space="preserve">After: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질문: "수수료 구조가 투명한 공예 강사 플랫폼을 어떻게 선택하나요?"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또는</w:t>
      </w:r>
    </w:p>
    <w:p>
      <w:pPr>
        <w:shd w:fill="F3F4F6" w:val="clear"/>
        <w:spacing w:after="0" w:before="0" w:line="276"/>
        <w:ind w:left="283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질문: "오센틱아트의 강사 수수료 구조는 어떻게 되나요?"</w:t>
      </w:r>
    </w:p>
    <w:p>
      <w:pPr>
        <w:spacing w:after="80" w:before="80"/>
      </w:pP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4. 마스킹(`**`) 처리의 법적 방어력 평가</w:t>
      </w:r>
    </w:p>
    <w:p>
      <w:pPr>
        <w:spacing w:after="80" w:before="80"/>
      </w:pPr>
      <w:r>
        <w:rPr>
          <w:b/>
          <w:bCs/>
        </w:rPr>
        <w:t xml:space="preserve">결론: 방어력 제한적. 실질적 방어 수단으로 의존하기 어렵습니다.</w:t>
      </w:r>
    </w:p>
    <w:p>
      <w:pPr>
        <w:spacing w:after="80" w:before="80"/>
      </w:pPr>
      <w:r>
        <w:t xml:space="preserve">근거: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식별가능성 기준</w:t>
      </w:r>
      <w:r>
        <w:t xml:space="preserve"> — 명예훼손·비교광고 규제는 "제3자가 대상이 누구인지 알 수 있는지"를 기준으로 합니다. "클래스1**"은 국내 공예·취미 클래스 플랫폼 중 "클래스101"과의 연관성이 즉각 인식되는 수준이므로, 마스킹이 식별가능성을 법적으로 차단하지 못할 가능성이 높습니다.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공정거래위원회 비교광고 고시</w:t>
      </w:r>
      <w:r>
        <w:t xml:space="preserve"> — 비교 대상이 묵시적으로 특정된 경우에도 비교광고 규정이 적용될 수 있습니다. 마스킹은 법적 요건(실증책임)을 면제해 주지 않습니다.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실무 활용 범위</w:t>
      </w:r>
      <w:r>
        <w:t xml:space="preserve"> — 마스킹은 악의적 검색 엔진 인덱싱 방지, 일반 독자 대상 직접 공격성 완화 등 실무적 완화 효과는 있으나, 법적 분쟁 발생 시 결정적 방어 수단이 되지는 않습니다.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권고</w:t>
      </w:r>
      <w:r>
        <w:t xml:space="preserve"> — 마스킹 자체를 유지하되, 이를 법적 방어막으로 의존하지 않는 것이 타당합니다. 근본적인 위험 감소는 경쟁사 수치 자체를 삭제(옵션 A)하는 방향으로 해결해야 합니다.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5. 종합 의견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리스크 등급:</w:t>
      </w:r>
      <w:r>
        <w:t xml:space="preserve"> 높음 (현재 상태 기준)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수정 필요 여부:</w:t>
      </w:r>
      <w:r>
        <w:t xml:space="preserve"> 예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rPr>
          <w:b/>
          <w:bCs/>
        </w:rPr>
        <w:t xml:space="preserve">발행 가능 여부:</w:t>
      </w:r>
      <w:r>
        <w:t xml:space="preserve"> 수정 후 가능</w:t>
      </w:r>
    </w:p>
    <w:p>
      <w:pPr>
        <w:spacing w:after="80" w:before="80"/>
      </w:pPr>
      <w:r>
        <w:rPr>
          <w:b/>
          <w:bCs/>
        </w:rPr>
        <w:t xml:space="preserve">현재 상태로 발행할 경우 주요 리스크: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경쟁사 수수료 수치(35% / 25~30% / 20%)에 대한 표시광고법상 실증책임 미충족 가능성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마스킹된 경쟁사를 식별 가능한 상태에서 수치 적시 → 형법·정보통신망법상 사이버명예훼손 또는 민사상 손해배상 청구 가능성</w:t>
      </w:r>
    </w:p>
    <w:p>
      <w:pPr>
        <w:pStyle w:val="ListParagraph"/>
        <w:numPr>
          <w:ilvl w:val="0"/>
          <w:numId w:val="1"/>
        </w:numPr>
        <w:spacing w:after="40" w:before="40"/>
        <w:ind w:left="340"/>
      </w:pPr>
      <w:r>
        <w:t xml:space="preserve">"보장", "약속" 표현의 과장광고 리스크</w:t>
      </w:r>
    </w:p>
    <w:p>
      <w:pPr>
        <w:pStyle w:val="Heading2"/>
        <w:pBdr>
          <w:bottom w:val="single" w:color="D97706" w:sz="4"/>
        </w:pBdr>
        <w:spacing w:after="120" w:before="320"/>
      </w:pPr>
      <w:r>
        <w:rPr>
          <w:b/>
          <w:bCs/>
          <w:color w:val="1A1A2E"/>
          <w:sz w:val="32"/>
          <w:szCs w:val="32"/>
        </w:rPr>
        <w:t xml:space="preserve">6. 최소 필수 수정 체크리스트 (발행 전 완료 필수)</w:t>
      </w: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수정 항목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M-1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비교표 경쟁사 수치 처리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경쟁사 3사의 수수료 수치(35%, 25~30%, 20%) 및 실수령 추정값(195만 원 등)을 "직접 확인 권장" 정성 표현으로 교체 (옵션 A)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필수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M-2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실수령 추정표 경쟁사 행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경쟁사 3사 행 전체 삭제 또는 수치 제거 후 "각 플랫폼 직접 확인" 표기로 대체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필수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M-3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FAQ #2 클래스1** 수치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"약 35% 수준으로 알려져 있으나" → 수치 삭제, 공식 확인 안내로 대체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필수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M-4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"보장" 표현 전체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SEO 디스크립션, CTA 본문에서 "보장", "약속" 표현 제거. 수수료 구조 사실 서술로 교체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rPr>
                <w:b/>
                <w:bCs/>
              </w:rPr>
              <w:t xml:space="preserve">필수</w:t>
            </w:r>
          </w:p>
        </w:tc>
      </w:tr>
      <w:t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M-5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FAQ #1 질문 "가장 낮은"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"가장 낮은 플랫폼" → "수수료 구조를 알 수 있는 플랫폼" 또는 자사 수수료 안내 질문으로 수정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권장</w:t>
            </w:r>
          </w:p>
        </w:tc>
      </w:tr>
      <w:tr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M-6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면책 문구 보강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현행 하단 1줄 유지 + 비교표 직후 자사/경쟁사 수치 구분 안내 문구 추가</w:t>
            </w:r>
          </w:p>
        </w:tc>
        <w:tc>
          <w:tcPr>
            <w:shd w:fill="F9F9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  <w:jc w:val="center"/>
            </w:pPr>
            <w:r>
              <w:t xml:space="preserve">권장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t xml:space="preserve">*본 검토 의견은 법적 최종 자문이 아니며, 실제 법적 판단은 전문 법무법인의 검토를 통해 확인하시기 바랍니다. 특히 의료·금융 업종이 아닌 일반 플랫폼 서비스의 경우에도 비교광고 시 공정거래위원회 고시 기준을 참고하는 것을 권장합니다.*</w:t>
      </w:r>
    </w:p>
    <w:sectPr>
      <w:head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/>
      </w:pBdr>
      <w:jc w:val="right"/>
    </w:pPr>
    <w:r>
      <w:rPr>
        <w:b/>
        <w:bCs/>
        <w:color w:val="1A1A2E"/>
        <w:sz w:val="16"/>
        <w:szCs w:val="16"/>
      </w:rPr>
      <w:t xml:space="preserve">AUTHENTICART (오센틱아트)</w:t>
    </w:r>
    <w:r>
      <w:rPr>
        <w:color w:val="6B7280"/>
        <w:sz w:val="16"/>
        <w:szCs w:val="16"/>
      </w:rPr>
      <w:t xml:space="preserve">   |   공식 비즈니스 보고서   |   기밀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40" w:hanging="22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2026-06-08T11:03:46.486Z</dcterms:created>
  <dcterms:modified xsi:type="dcterms:W3CDTF">2026-06-08T11:03:46.487Z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