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마케팅 에이전시 계약서 법무 검토 보고서</w:t>
      </w:r>
    </w:p>
    <w:p>
      <w:pPr>
        <w:spacing w:after="80" w:before="80"/>
      </w:pPr>
      <w:r>
        <w:rPr>
          <w:b/>
          <w:bCs/>
        </w:rPr>
        <w:t xml:space="preserve">계약서명:</w:t>
      </w:r>
      <w:r>
        <w:t xml:space="preserve"> 오센틱아트 마케팅 서비스 대행 계약서</w:t>
      </w:r>
    </w:p>
    <w:p>
      <w:pPr>
        <w:spacing w:after="80" w:before="80"/>
      </w:pPr>
      <w:r>
        <w:rPr>
          <w:b/>
          <w:bCs/>
        </w:rPr>
        <w:t xml:space="preserve">당사자:</w:t>
      </w:r>
      <w:r>
        <w:t xml:space="preserve"> 주식회사 서우 (갑) vs 마케팅 에이전시 (을)</w:t>
      </w:r>
    </w:p>
    <w:p>
      <w:pPr>
        <w:spacing w:after="80" w:before="80"/>
      </w:pPr>
      <w:r>
        <w:rPr>
          <w:b/>
          <w:bCs/>
        </w:rPr>
        <w:t xml:space="preserve">검토일:</w:t>
      </w:r>
      <w:r>
        <w:t xml:space="preserve"> 2026-05-15</w:t>
      </w:r>
    </w:p>
    <w:p>
      <w:pPr>
        <w:spacing w:after="80" w:before="80"/>
      </w:pPr>
      <w:r>
        <w:rPr>
          <w:b/>
          <w:bCs/>
        </w:rPr>
        <w:t xml:space="preserve">전체 리스크 등급: 중(中)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⚠️ 본 검토는 법적 자문이 아닙니다. 실제 계약 체결 전 반드시 법률 전문가의 최종 검토를 받으십시오.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12개 항목 검토 결과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조항 요약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의견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당사자 특정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 상호만 기재, 을 전체 공란. 대표자·사업자번호·주소 모두 미기재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체결 전 을의 법인등기부·사업자등록증 사본 확인 후 전체 기입 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법적 성격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전문에서 "위탁"으로 규정하나 업무 지시·승인·통제 구조가 다수 포함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고용 관계 오인 방지 조항 신설 필요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대행 업무 범위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1 연동 구조. 추가 업무 서면 승인 요건, 재위탁 금지 명시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1 수량 공란 미확정 — 계약 전 수치 확정 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수수료·광고비 구분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고정/연동 옵션 이중 구조, 별도 세금계산서 의무, 10영업일 지급, 연 6% 지연이자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2 금액·비율 전체 공란 — 계약 효력 발생 전 확정 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광고비 집행 승인 절차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100만원 초과 건 서면 승인, 미승인 집행 시 을 부담, 긴급 시 사후 1영업일 보완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긴급 집행 정의 범위 소폭 보완 권고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콘텐츠 승인 프로세스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3영업일 내 승인/거절, 무응답 시 을 재확인 의무, 2회 무상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3영업일이 실무상 촉박 — 5영업일로 확대 협의 권고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표시광고법 준수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체험단·협찬 표시 의무, 위반 시 을 책임, 허위·과장 금지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갑이 사전 승인한 콘텐츠에서 법령 위반 발생 시 갑·을 책임 분담 기준 불명확 — 보완 권고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저작권 귀속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완납 시 귀속, 원본 파일 인도 의무, 제3자 저작물 라이선스 책임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완납 전 갑의 콘텐츠 임시 사용 가부 불명확 — 사용 허락 조항 추가 권고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 처리위탁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개인정보보호법 제26조 구조, 별지 4 구성, 24시간 침해 통보, 재위탁 금지, 파기 의무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적정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개인정보처리방침 수탁자 공개 이행 확인 필요 (법 제26조 제2항)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비밀유지·위약벌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2년 존속, 위약벌 1,000만원 + 실손해 병산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위약벌 성격 명확화 필요. 법원 감액 가능성 및 쌍방 의무 불균형 보완 필요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배타 조항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제3조 제4항 — 갑의 서면 승인 없이 경쟁사 동시 대행 금지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❌ 위험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공정거래법 위반 가능성. 문구 완화 또는 삭제 강력 권고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해지·정산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30일 사전 통보, 5가지 즉시 해지 사유, 귀책별 비례 정산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⚠️ 보완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해지 제4호(성과 미달)의 갑-을 형평성 문제 — 외부 요인 예외 삽입 권고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즉시 수정 필요 항목 (❌ 위험)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1순위 — 제3조 제4항: 경쟁사 배타 조항 — 공정거래법 저촉 위험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제3조 제4항은 을이 갑의 서면 승인 없이 "레진아트·공예 클래스 예약 플랫폼 분야" 경쟁사 대행을 일절 금지한다. 계약 기간 중 에이전시의 영업 활동 전반을 차단하는 구조로, 독점규제 및 공정거래에 관한 법률 제45조(불공정거래행위 — 구속 조건부 거래, 사업활동 방해) 위반 소지가 있다.</w:t>
      </w:r>
    </w:p>
    <w:p>
      <w:pPr>
        <w:spacing w:after="80" w:before="80"/>
      </w:pPr>
      <w:r>
        <w:rPr>
          <w:b/>
          <w:bCs/>
        </w:rPr>
        <w:t xml:space="preserve">수정 제안 문구 (완화 버전):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을은 본 계약 이행 기간 중 갑에게 귀속되는 경영 전략, 캠페인 정보, 비밀정보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등을 활용하여 오센틱아트 플랫폼과 직접적으로 경쟁하는 동일 지역·동일 서비스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범위의 경쟁사를 대행하는 행위를 삼가도록 노력한다. 단, 이 조항은 을의 일반적인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영업 활동을 포괄적으로 제한하는 것이 아니며, 갑의 비밀정보를 활용하지 않는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범위 내에서의 제3자 대행은 이 조항의 금지 대상에 해당하지 않는다.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대안:</w:t>
      </w:r>
      <w:r>
        <w:t xml:space="preserve"> 조항 삭제 후 제12조 비밀유지 의무만으로 이익 보호 (법적으로 가장 안전).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보완 권고 항목 상세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항목 2 — 계약 법적 성격: 고용 관계 오인 방지 조항 부재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제6조·제7조·제8조에서 갑이 을의 업무 수행 방식·일정·내용을 상세히 지시·통제하는 구조가 반복된다. 을 소속 담당자가 갑 사업장에서 업무를 수행할 경우 근로기준법상 묵시적 근로계약 또는 파견법상 불법 파견 문제가 발생할 수 있다.</w:t>
      </w:r>
    </w:p>
    <w:p>
      <w:pPr>
        <w:spacing w:after="80" w:before="80"/>
      </w:pPr>
      <w:r>
        <w:rPr>
          <w:b/>
          <w:bCs/>
        </w:rPr>
        <w:t xml:space="preserve">수정 제안 문구 (제2조에 ⑥항 신설):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⑥ 을은 갑으로부터 독립된 사업자로서 본 계약상 의무를 이행하며, 갑은 을의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임직원에 대하여 직접적인 지시·감독을 행사하지 않는다. 본 계약은 고용 계약,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근로 계약 또는 파견 계약을 구성하지 않으며, 갑의 지시는 결과물의 품질·방향에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관한 것으로 한정되며, 을의 업무 수행 과정 자체에 대한 통제로 해석되지 않는다.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항목 10 — 비밀유지 위약벌: 성격 불명확 및 쌍방 불균형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제12조 제3항에서 "위약벌"로 명시하고 있으나 법원이 민법 제398조 손해배상액 예정으로 재해석하여 감액할 가능성이 있다. 비밀유지 의무가 을에게만 부과되어 쌍방 불균형.</w:t>
      </w:r>
    </w:p>
    <w:p>
      <w:pPr>
        <w:spacing w:after="80" w:before="80"/>
      </w:pPr>
      <w:r>
        <w:rPr>
          <w:b/>
          <w:bCs/>
        </w:rPr>
        <w:t xml:space="preserve">수정 제안 문구 (제12조 제3항 수정):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비밀정보 유출로 인해 갑에게 손해가 발생한 경우, 을은 갑에게 실손해를 배상하여야 한다.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이에 더하여, 을은 본 조 위반에 대한 제재적 성격의 위약벌로서 갑에게 금 10,000,000원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(일천만 원)을 지급한다. 본 위약벌은 실손해 배상액과 중복하여 청구되며, 민법 제398조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제2항의 감액 대상이 아닌 위약벌(penalty)임을 당사자 모두 확인한다.</w:t>
      </w:r>
    </w:p>
    <w:p>
      <w:pPr>
        <w:spacing w:after="80" w:before="80"/>
      </w:pPr>
    </w:p>
    <w:p>
      <w:pPr>
        <w:spacing w:after="80" w:before="80"/>
      </w:pPr>
      <w:r>
        <w:t xml:space="preserve">추가 권고: 갑에게도 비밀유지 의무를 동등하게 규정하는 쌍방 의무 조항 삽입 검토.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항목 12 — 즉시 해지 제4호: 형평성 문제</w:t>
      </w:r>
    </w:p>
    <w:p>
      <w:pPr>
        <w:spacing w:after="80" w:before="80"/>
      </w:pPr>
      <w:r>
        <w:rPr>
          <w:b/>
          <w:bCs/>
        </w:rPr>
        <w:t xml:space="preserve">문제:</w:t>
      </w:r>
      <w:r>
        <w:t xml:space="preserve"> 성과 미달 재협의 결렬 시 즉시 해지를 허용하나, 성과 미달이 시장 환경 변화·갑의 플랫폼 품질·예산 부족 등 외부 요인에 의한 경우도 포함되어 형평에 반한다.</w:t>
      </w:r>
    </w:p>
    <w:p>
      <w:pPr>
        <w:spacing w:after="80" w:before="80"/>
      </w:pPr>
      <w:r>
        <w:rPr>
          <w:b/>
          <w:bCs/>
        </w:rPr>
        <w:t xml:space="preserve">수정 제안 문구: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제9조에 따른 성과 미달 재협의가 결렬된 경우. 단, 성과 미달의 주된 원인이 을의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귀책 사유가 아닌 외부 시장 환경 변화 또는 갑의 플랫폼·예산·콘텐츠 소재 등 갑 측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요인에 기인한다고 을이 합리적 증빙을 제시하는 경우, 갑은 즉시 해지 대신 제16조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제1항의 통상 해지 절차를 따른다.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별지 미확정 항목 (계약 서명 전 반드시 확정)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별지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미확정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SNS 게시 건수, 영상·블로그 건수, 체험단 인원 수, 이벤트 횟수 — 전부 [ ] 공란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방식(A/B) 미선택, 월 고정료·연동 비율 미확정, 매체별 예산 한도 전부 공란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모든 KPI 목표치 공란 (노출수, CTR, 회원가입 수, 전환 수, CPA, ROAS 등)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수탁자(을) 상호 미기재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필수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공란 상태로 체결하면 핵심 조항이 불확정 상태가 되어 분쟁 시 계약 효력이 다투어질 수 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유리한 조항 확인 (갑 기준)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제8조 제3항 광고 계정 소유권 갑 귀속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계약 종료 후 채널 연속성 완전 보장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제13조 저작권 완납 후 전부 귀속 + 원본 파일 인도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향후 콘텐츠 재활용권 완전 확보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제6조 제4항 미승인 광고비 100% 을 부담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예산 통제권 강력 보장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제9조 제3항 KPI 50% 미달 2개월 패널티 없는 해지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강력한 안전장치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제14조 제3항 손해배상 한도 예외 4개 항목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고의·비밀유출·개인정보·저작권 침해는 배상 한도 미적용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제10조 + 별지 4 개인정보 처리위탁 구조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✅ 강점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개인정보보호법 제26조 요건 대부분 충족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수정 우선순위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위반 법령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제3조 제4항 경쟁사 배타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공정거래법 제45조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문구 완화 또는 삭제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을 계약 당사자 정보 공란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민법(계약 유효성)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법인등기부등본 확인 후 기입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별지 1·2·3·4 수치 공란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민법(계약 특정성)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모든 수치 확정 후 서명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제2조 독립 수급인 확인 조항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근로기준법, 파견법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항목 신설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제12조 위약벌 성격 명확화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 제398조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위약벌임을 명시하는 문구 추가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제12조 쌍방 비밀유지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갑의 비밀유지 의무 조항 대칭 추가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제16조 제2항 제4호 해지 형평성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민법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외부 요인 예외 규정 삽입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최종 의견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체결 가능 여부:</w:t>
      </w:r>
      <w:r>
        <w:t xml:space="preserve"> 수정 후 가능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외부 법무법인 검토 필요:</w:t>
      </w:r>
      <w:r>
        <w:t xml:space="preserve"> 예 (경쟁사 배타 조항 공정거래법 리스크 및 위약벌 유효성 관련)</w:t>
      </w:r>
    </w:p>
    <w:p>
      <w:pPr>
        <w:spacing w:after="80" w:before="80"/>
      </w:pPr>
      <w:r>
        <w:rPr>
          <w:b/>
          <w:bCs/>
        </w:rPr>
        <w:t xml:space="preserve">우선 처리 순서: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제3조 제4항 (경쟁사 배타) 문구 완화 또는 삭제 — 법적 리스크 가장 높음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을의 계약 당사자 정보 전부 기입 (법인등기부등본 확인 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별지 1·2·3 수치 전부 확정 — 계약의 실질적 효력 기반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독립 수급인 확인 조항 신설 (제2조에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즉시 해지 제4호 요건 완화 (외부 요인 예외 삽입)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오센틱아트 개인정보처리방침에 수탁자(에이전시명) 공개 이행 (계약 체결 즉시)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2026-05-14T21:18:39.112Z</dcterms:created>
  <dcterms:modified xsi:type="dcterms:W3CDTF">2026-05-14T21:18:39.113Z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