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400"/>
      </w:pPr>
      <w:r>
        <w:rPr>
          <w:b/>
          <w:bCs/>
          <w:color w:val="1A1A2E"/>
          <w:sz w:val="48"/>
          <w:szCs w:val="48"/>
        </w:rPr>
        <w:t xml:space="preserve">오센틱아트 상품 입점 계약서 법무 검토 보고서</w:t>
      </w:r>
    </w:p>
    <w:p>
      <w:pPr>
        <w:spacing w:after="80" w:before="80"/>
      </w:pPr>
      <w:r>
        <w:rPr>
          <w:b/>
          <w:bCs/>
        </w:rPr>
        <w:t xml:space="preserve">계약서명:</w:t>
      </w:r>
      <w:r>
        <w:t xml:space="preserve"> 오센틱아트 플랫폼 상품 입점 계약서</w:t>
      </w:r>
    </w:p>
    <w:p>
      <w:pPr>
        <w:spacing w:after="80" w:before="80"/>
      </w:pPr>
      <w:r>
        <w:rPr>
          <w:b/>
          <w:bCs/>
        </w:rPr>
        <w:t xml:space="preserve">당사자:</w:t>
      </w:r>
      <w:r>
        <w:t xml:space="preserve"> 주식회사 서우 (갑) vs 상품 입점사 (을)</w:t>
      </w:r>
    </w:p>
    <w:p>
      <w:pPr>
        <w:spacing w:after="80" w:before="80"/>
      </w:pPr>
      <w:r>
        <w:rPr>
          <w:b/>
          <w:bCs/>
        </w:rPr>
        <w:t xml:space="preserve">검토일:</w:t>
      </w:r>
      <w:r>
        <w:t xml:space="preserve"> 2026-05-15</w:t>
      </w:r>
    </w:p>
    <w:p>
      <w:pPr>
        <w:spacing w:after="80" w:before="80"/>
      </w:pPr>
      <w:r>
        <w:rPr>
          <w:b/>
          <w:bCs/>
        </w:rPr>
        <w:t xml:space="preserve">전체 리스크 등급: 중(中)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⚠️ 본 검토는 법적 자문이 아닙니다. 실제 계약 체결 전 반드시 법률 전문가의 최종 검토를 받으십시오.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12개 항목 검토 결과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현재 조항 요약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의견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계약 당사자 특정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을: 통신판매업 신고번호 기재란 있음. 갑: 신고번호 기재란 없음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⚠️ 보완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갑의 통신판매(중개)업 신고번호 기재란 누락 — 전자상거래법 제12조 고지 의무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계약 법적 성격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제6조 통신판매중개업자 명시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⚠️ 보완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전자상거래법 제20조 법정 의무 이행 근거 조항(신원 고지, 불법상품 모니터링) 부재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위탁판매 구조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제6조 소유권 배송 전 을 귀속, 품질·배송 최종 책임 을 부담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⚠️ 보완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단순 책임 전가만으로는 전자상거래법 제20조의2 연대 책임 방어 불가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4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수수료·정산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15%(PG 포함), 익월 10일 정산, 지연이자 연 6%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⚠️ 보완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PG 수수료 실비 변동 시 소급 적용 범위 불명확, 세금계산서 미발행 시 정산 보류는 세법상 공급시기 의무와 충돌 소지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배송·반품·교환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단순변심 7일, 하자 30일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✅ 적정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전자상거래법 제17조 청약철회권 7일 기준 충족. 디지털·소모성 상품 제외 조항 추가 권고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6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금지 상품 목록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제9조 10개 유형 열거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⚠️ 보완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"KC인증 대상인 경우" 범위 특정 없음 — 레진아트 특성상 UV램프·생활화학제품·어린이제품 등 구체 품목 명시 필요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소비자 분쟁 처리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제10조 1차 을, 7영업일 초과 시 갑 대위 처리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❌ 위험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갑의 전자상거래법 제20조의2 연대 책임 방어를 위한 신원 고지 이행 절차 전무 — 행정 제재·과징금 위험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8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지식재산권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제12조 저작권 을 귀속, 비독점 라이선스 부여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✅ 적정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범위 명확, 제3자 제공 금지 규정. 계약 종료 후 콘텐츠 삭제 의무 조항 추가 권고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9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개인정보 처리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제13조 최소 정보 제공, 배송 후 파기, 위탁계약 별도 체결 언급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⚠️ 보완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처리위탁 vs 제3자 제공 법적 성격 불명확, 위탁계약 체결 시기 미명시 — 개인정보보호법 제26조 위반 소지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운영 정책 변경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제15조 일반 30일, 불리한 변경 60일 전 통보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✅ 적정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법 기준(30일) 초과하여 적정. 동의 없을 시 무위약금 해지 조항 양호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손해배상·위약벌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제18조 직접손해 배상, 고의·중과실 3배 이내 위약벌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⚠️ 보완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위약벌 3배에 감액 가능성 명시한 점은 투명. 제19조 갑의 면책 범위(서버 장애·해킹 포함)가 과도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관할법원·준거법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제23조 서울중앙지방법원 제1심, 대한민국 법률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⚠️ 보완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합의관할로 법적 유효하나, 지방 소재 을에게 소송 비용 불리 — 조정 전치 조항 추가 권고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즉시 수정 필요 항목 (❌ 위험)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1순위 — 제10조 + 제6조: 전자상거래법 연대 책임 방어 조항 누락</w:t>
      </w:r>
    </w:p>
    <w:p>
      <w:pPr>
        <w:spacing w:after="80" w:before="80"/>
      </w:pPr>
      <w:r>
        <w:rPr>
          <w:b/>
          <w:bCs/>
        </w:rPr>
        <w:t xml:space="preserve">문제:</w:t>
      </w:r>
      <w:r>
        <w:t xml:space="preserve"> 전자상거래법 제20조의2는 통신판매중개업자가 ① 통신판매업자인 것처럼 소비자가 오인하게 하거나, ② 통신판매업자의 신원 정보를 제공하지 않은 경우 연대 책임을 진다고 규정한다. 현행 계약서에는 갑이 각 상품 페이지에 을의 신원 정보를 표시할 의무가 명시되지 않았다.</w:t>
      </w:r>
    </w:p>
    <w:p>
      <w:pPr>
        <w:spacing w:after="80" w:before="80"/>
      </w:pPr>
      <w:r>
        <w:rPr>
          <w:b/>
          <w:bCs/>
        </w:rPr>
        <w:t xml:space="preserve">수정 제안 문구 (제10조에 추가):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⑤ 갑은 전자상거래법 제20조에 따라 플랫폼 내 각 상품 페이지에 을의 상호,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사업자등록번호, 통신판매업 신고번호, 대표자 성명, 주소, 연락처를 소비자가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쉽게 확인할 수 있도록 표시하여야 한다.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⑥ 을이 상기 정보를 허위로 제공하거나 변경 사항을 48시간 이내 갑에게 통보하지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않아 갑에게 연대 책임이 귀속된 경우, 을은 갑이 부담한 손해 전액을 배상한다.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1순위 — 제13조: 개인정보 처리위탁 계약서 체결 시기 불명확</w:t>
      </w:r>
    </w:p>
    <w:p>
      <w:pPr>
        <w:spacing w:after="80" w:before="80"/>
      </w:pPr>
      <w:r>
        <w:rPr>
          <w:b/>
          <w:bCs/>
        </w:rPr>
        <w:t xml:space="preserve">문제:</w:t>
      </w:r>
      <w:r>
        <w:t xml:space="preserve"> 갑이 을에게 소비자 배송 정보를 제공하는 즉시 처리위탁 관계가 성립하므로, 위탁 계약서는 입점 승인일과 동시에 체결되어야 한다. 현행 조항은 "별도 체결한다"고만 규정하여 체결 전 정보 이전 시 개인정보보호법 위반이 된다. 위반 시 3,000만원 이하 과태료.</w:t>
      </w:r>
    </w:p>
    <w:p>
      <w:pPr>
        <w:spacing w:after="80" w:before="80"/>
      </w:pPr>
      <w:r>
        <w:rPr>
          <w:b/>
          <w:bCs/>
        </w:rPr>
        <w:t xml:space="preserve">수정 제안 문구 (제13조에 추가):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⑥ 갑과 을은 을의 입점 승인일로부터 7영업일 이내에 개인정보보호법 제26조에 따른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개인정보 처리위탁 계약(별지 4)을 체결하여야 하며, 위탁계약 미체결 상태에서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갑은 소비자 개인정보를 을에게 제공하지 아니한다.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⑦ 배송 목적 정보 제공은 개인정보보호법 제26조 처리위탁으로 간주하며,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갑은 개인정보처리방침에 이를 공개한다.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2순위 — 제19조: 갑의 면책 범위 과도</w:t>
      </w:r>
    </w:p>
    <w:p>
      <w:pPr>
        <w:spacing w:after="80" w:before="80"/>
      </w:pPr>
      <w:r>
        <w:rPr>
          <w:b/>
          <w:bCs/>
        </w:rPr>
        <w:t xml:space="preserve">문제:</w:t>
      </w:r>
      <w:r>
        <w:t xml:space="preserve"> 서버 장애 및 해킹은 갑의 보안 관리 의무(정보통신망법 제45조, 개인정보보호법 제29조) 위반에 해당할 경우 불가항력으로 볼 수 없다.</w:t>
      </w:r>
    </w:p>
    <w:p>
      <w:pPr>
        <w:spacing w:after="80" w:before="80"/>
      </w:pPr>
      <w:r>
        <w:rPr>
          <w:b/>
          <w:bCs/>
        </w:rPr>
        <w:t xml:space="preserve">수정 제안 문구 (제19조 제2항 수정):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② 제①항 제4호(서버 장애, 해킹 등)의 경우, 갑이 관계 법령에서 요구하는 보안 조치를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성실히 이행하였음에도 불구하고 발생한 사안에 한하여 면책된다. 갑의 관리 소홀로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인한 보안 사고는 본 면책 조항의 적용을 받지 아니한다.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③ 갑의 귀책(시스템 오류로 인한 잘못된 정산, 갑의 허가 없는 상품 정보 수정 등)으로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을에게 직접 손해가 발생한 경우 갑은 이를 배상한다.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2순위 — 제9조 제3호: KC인증 대상 범위 모호</w:t>
      </w:r>
    </w:p>
    <w:p>
      <w:pPr>
        <w:spacing w:after="80" w:before="80"/>
      </w:pPr>
      <w:r>
        <w:rPr>
          <w:b/>
          <w:bCs/>
        </w:rPr>
        <w:t xml:space="preserve">수정 제안 문구: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③ 전기용품 및 생활용품 안전관리법, 어린이제품 안전 특별법, 생활화학제품 및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살생물제의 안전관리에 관한 법률 등 관계 법령에 따라 KC안전인증, KC안전확인신고,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공급자적합성확인(SDoC) 등 법정 인증·신고 의무가 부과된 상품으로서 해당 인증·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신고를 취득·완료하지 않은 상품. (대상 품목 목록은 운영 정책에서 별도 안내한다.)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3순위 — 계약 당사자란: 갑 통신판매중개업 신고번호 누락</w:t>
      </w:r>
    </w:p>
    <w:p>
      <w:pPr>
        <w:spacing w:after="80" w:before="80"/>
      </w:pPr>
      <w:r>
        <w:t xml:space="preserve">전자상거래법 제12조에 따라 갑의 통신판매업 신고번호 및 통신판매중개업 등록번호 기재란 추가 필요.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유리한 조항 확인 (갑 기준)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조항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평가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제5조 최저가 보장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타 채널 저가 판매 시 즉시 중단·해지 가능, 플랫폼 경쟁력 보호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제7조 제5항 정산 보류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세금계산서 수취 강제 수단으로 유효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제7조 제8항 지연이자 연 6%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명시적 이행 의지 표명으로 을과의 신뢰 확보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제15조 불리한 변경 60일 통보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법 최소 기준(30일) 초과, 분쟁 예방 효과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제17조 즉시 해지 사유 명확화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위험 입점사 신속 퇴출 근거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제12조 비독점 라이선스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콘텐츠 외부 유용 방지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제21조 비밀유지 3년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통상적이며 영업정보 보호 충분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제24조 분리 가능성 조항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일부 무효 시 계약 전체 유지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수정 우선순위 요약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조항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위반 법령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처리 방식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제10조 + 제6조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전자상거래법 제20조·제20조의2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신원 고지 의무 및 연대 책임 방어 조항 추가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제13조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개인정보보호법 제26조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위탁계약 체결 시기 명시 + 별지 4 신설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제19조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정보통신망법 제45조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보안 관리 소홀 시 면책 배제 조항 추가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제9조 제3호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제품안전기본법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KC인증 대상 품목 구체화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계약 당사자란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전자상거래법 제12조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갑 통신판매중개업 신고번호 추가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4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제19조 제③항 신설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민법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갑 귀책 손해 배상 조항 신설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협상 포인트</w:t>
      </w:r>
    </w:p>
    <w:p>
      <w:pPr>
        <w:spacing w:after="80" w:before="80"/>
      </w:pPr>
      <w:r>
        <w:rPr>
          <w:b/>
          <w:bCs/>
        </w:rPr>
        <w:t xml:space="preserve">반드시 수정 (법령 위반 소지):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제10조 + 제6조 — 전자상거래법 제20조·제20조의2 이행 근거 추가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제13조 — 개인정보 처리위탁 계약 체결 시기 명시 (개인정보보호법 제26조)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제9조 제3호 — KC인증 대상 품목 구체화 (제품안전법)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제19조 — 갑의 보안 관리 의무 위반 시 면책 배제 조항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계약 당사자란 — 갑 통신판매중개업 신고번호 추가</w:t>
      </w:r>
    </w:p>
    <w:p>
      <w:pPr>
        <w:spacing w:after="80" w:before="80"/>
      </w:pPr>
      <w:r>
        <w:rPr>
          <w:b/>
          <w:bCs/>
        </w:rPr>
        <w:t xml:space="preserve">협상 가능 항목: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제7조 정산 지연이자 연 6% → 을 요구 시 연 12%로 상향 가능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제17조 30일 해지 통보 → 을 요구 시 60일로 연장 협의 가능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제23조 서울중앙지방법원 전속 관할 → 조정 전치 조항 또는 을 소재지 병기 협의 가능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최종 의견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체결 가능 여부:</w:t>
      </w:r>
      <w:r>
        <w:t xml:space="preserve"> 수정 후 가능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외부 법무법인 검토 필요:</w:t>
      </w:r>
      <w:r>
        <w:t xml:space="preserve"> 예</w:t>
      </w:r>
    </w:p>
    <w:p>
      <w:pPr>
        <w:spacing w:after="80" w:before="80"/>
      </w:pPr>
      <w:r>
        <w:t xml:space="preserve">현행 초안은 기본 계약 구조는 양호하나, 다음 3개 영역에서 법령 위반 또는 분쟁 시 불리한 결과를 초래할 수 있는 구조적 공백이 존재한다.</w:t>
      </w:r>
    </w:p>
    <w:p>
      <w:pPr>
        <w:spacing w:after="80" w:before="80"/>
      </w:pPr>
      <w:r>
        <w:t xml:space="preserve">① </w:t>
      </w:r>
      <w:r>
        <w:rPr>
          <w:b/>
          <w:bCs/>
        </w:rPr>
        <w:t xml:space="preserve">전자상거래법 이행 구조 미비</w:t>
      </w:r>
      <w:r>
        <w:t xml:space="preserve"> (제6조·제10조): 통신판매중개업자 갑의 법정 의무 이행 근거가 없어 소비자 연대 배상 및 과징금 부과 위험.</w:t>
      </w:r>
    </w:p>
    <w:p>
      <w:pPr>
        <w:spacing w:after="80" w:before="80"/>
      </w:pPr>
      <w:r>
        <w:t xml:space="preserve">② </w:t>
      </w:r>
      <w:r>
        <w:rPr>
          <w:b/>
          <w:bCs/>
        </w:rPr>
        <w:t xml:space="preserve">개인정보 처리위탁 계약 미체결 구조</w:t>
      </w:r>
      <w:r>
        <w:t xml:space="preserve"> (제13조): 입점 승인 후 배송 정보 즉시 이전 시 개인정보보호법 위반 상태가 된다.</w:t>
      </w:r>
    </w:p>
    <w:p>
      <w:pPr>
        <w:spacing w:after="80" w:before="80"/>
      </w:pPr>
      <w:r>
        <w:t xml:space="preserve">③ </w:t>
      </w:r>
      <w:r>
        <w:rPr>
          <w:b/>
          <w:bCs/>
        </w:rPr>
        <w:t xml:space="preserve">갑의 면책 범위 과도</w:t>
      </w:r>
      <w:r>
        <w:t xml:space="preserve"> (제19조): 갑의 보안 관리 의무 위반 사안도 면책되는 것으로 해석될 소지가 있다.</w:t>
      </w:r>
    </w:p>
    <w:p>
      <w:pPr>
        <w:spacing w:after="80" w:before="80"/>
      </w:pPr>
      <w:r>
        <w:t xml:space="preserve">이 3개 영역은 계약 체결 전 반드시 수정되어야 하며, 입점사 다수와 반복 체결되는 표준 계약서인 만큼 법무법인의 최종 검토 후 확정을 권고한다.</w:t>
      </w:r>
    </w:p>
    <w:sectPr>
      <w:head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  <w:jc w:val="right"/>
    </w:pPr>
    <w:r>
      <w:rPr>
        <w:b/>
        <w:bCs/>
        <w:color w:val="1A1A2E"/>
        <w:sz w:val="16"/>
        <w:szCs w:val="16"/>
      </w:rPr>
      <w:t xml:space="preserve">AUTHENTICART (오센틱아트)</w:t>
    </w:r>
    <w:r>
      <w:rPr>
        <w:color w:val="6B7280"/>
        <w:sz w:val="16"/>
        <w:szCs w:val="16"/>
      </w:rPr>
      <w:t xml:space="preserve">   |   공식 비즈니스 보고서   |   기밀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40" w:hanging="22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2026-05-14T21:18:39.241Z</dcterms:created>
  <dcterms:modified xsi:type="dcterms:W3CDTF">2026-05-14T21:18:39.242Z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