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spacing w:after="160"/>
      </w:pPr>
      <w:r>
        <w:t>数据安全治理第二次作业</w:t>
      </w:r>
    </w:p>
    <w:p>
      <w:pPr>
        <w:ind w:firstLine="0"/>
      </w:pPr>
      <w:r>
        <w:rPr>
          <w:b/>
        </w:rPr>
        <w:t>检测指标计算与数据投毒攻击实验</w:t>
      </w:r>
    </w:p>
    <w:p>
      <w:pPr>
        <w:ind w:firstLine="0"/>
      </w:pPr>
      <w:r>
        <w:rPr>
          <w:b w:val="0"/>
        </w:rPr>
        <w:t>姓名：____________    学号：____________    实验日期：2026年10月26日</w:t>
      </w:r>
    </w:p>
    <w:p>
      <w:pPr>
        <w:pStyle w:val="3"/>
        <w:ind w:firstLine="0"/>
      </w:pPr>
      <w:r>
        <w:t>习题一 检测指标计算</w:t>
      </w:r>
    </w:p>
    <w:p>
      <w:pPr>
        <w:ind w:firstLine="369"/>
      </w:pPr>
      <w:r>
        <w:rPr>
          <w:b w:val="0"/>
        </w:rPr>
        <w:t>在内部威胁检测任务中，异常行为为正样例，正常行为为负样例，某算法的检测结果如下图所示，分别计算该检测算法的Accuracy、Precision、Recall、F1、FPR、TPR。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1829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etec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829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ind w:firstLine="0"/>
        <w:jc w:val="center"/>
      </w:pPr>
      <w:r>
        <w:t>图1 检测结果示意 菱形为实际异常 圆点为实际正常</w:t>
      </w:r>
    </w:p>
    <w:p>
      <w:pPr>
        <w:ind w:firstLine="369"/>
      </w:pPr>
      <w:r>
        <w:rPr>
          <w:b w:val="0"/>
        </w:rPr>
        <w:t>预测异常组中有4个实际异常、2个实际正常；预测正常组中有1个实际异常、3个实际正常。因此TP=4、FP=2、FN=1、TN=3，总样本数为10。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2721"/>
        <w:gridCol w:w="2438"/>
        <w:gridCol w:w="2438"/>
        <w:gridCol w:w="1757"/>
      </w:tblGrid>
      <w:tr>
        <w:trPr>
          <w:cantSplit/>
          <w:tblHeader/>
        </w:trPr>
        <w:tc>
          <w:tcPr>
            <w:tcW w:type="dxa" w:w="2721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实际类别</w:t>
            </w:r>
          </w:p>
        </w:tc>
        <w:tc>
          <w:tcPr>
            <w:tcW w:type="dxa" w:w="2438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预测异常（正类）</w:t>
            </w:r>
          </w:p>
        </w:tc>
        <w:tc>
          <w:tcPr>
            <w:tcW w:type="dxa" w:w="2438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预测正常（负类）</w:t>
            </w:r>
          </w:p>
        </w:tc>
        <w:tc>
          <w:tcPr>
            <w:tcW w:type="dxa" w:w="1757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合计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实际异常（正类）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TP = 4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FN = 1</w:t>
            </w:r>
          </w:p>
        </w:tc>
        <w:tc>
          <w:tcPr>
            <w:tcW w:type="dxa" w:w="175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实际正常（负类）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FP = 2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TN = 3</w:t>
            </w:r>
          </w:p>
        </w:tc>
        <w:tc>
          <w:tcPr>
            <w:tcW w:type="dxa" w:w="175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合计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5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2154"/>
        <w:gridCol w:w="5443"/>
        <w:gridCol w:w="1757"/>
      </w:tblGrid>
      <w:tr>
        <w:trPr>
          <w:cantSplit/>
          <w:tblHeader/>
        </w:trPr>
        <w:tc>
          <w:tcPr>
            <w:tcW w:type="dxa" w:w="215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5443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计算公式与数值代入</w:t>
            </w:r>
          </w:p>
        </w:tc>
        <w:tc>
          <w:tcPr>
            <w:tcW w:type="dxa" w:w="1757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Accuracy 准确率</w:t>
            </w:r>
          </w:p>
        </w:tc>
        <w:tc>
          <w:tcPr>
            <w:tcW w:type="dxa" w:w="544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(TP+TN)/(TP+FP+FN+TN) = (4+3)/10</w:t>
            </w:r>
          </w:p>
        </w:tc>
        <w:tc>
          <w:tcPr>
            <w:tcW w:type="dxa" w:w="175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70.00%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Precision 精确率</w:t>
            </w:r>
          </w:p>
        </w:tc>
        <w:tc>
          <w:tcPr>
            <w:tcW w:type="dxa" w:w="544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TP/(TP+FP) = 4/(4+2) = 2/3</w:t>
            </w:r>
          </w:p>
        </w:tc>
        <w:tc>
          <w:tcPr>
            <w:tcW w:type="dxa" w:w="175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66.67%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Recall 召回率</w:t>
            </w:r>
          </w:p>
        </w:tc>
        <w:tc>
          <w:tcPr>
            <w:tcW w:type="dxa" w:w="544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TP/(TP+FN) = 4/(4+1) = 4/5</w:t>
            </w:r>
          </w:p>
        </w:tc>
        <w:tc>
          <w:tcPr>
            <w:tcW w:type="dxa" w:w="175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80.00%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F1 分数</w:t>
            </w:r>
          </w:p>
        </w:tc>
        <w:tc>
          <w:tcPr>
            <w:tcW w:type="dxa" w:w="544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2TP/(2TP+FP+FN) = 8/(8+2+1) = 8/11</w:t>
            </w:r>
          </w:p>
        </w:tc>
        <w:tc>
          <w:tcPr>
            <w:tcW w:type="dxa" w:w="175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72.73%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FPR 假正例率</w:t>
            </w:r>
          </w:p>
        </w:tc>
        <w:tc>
          <w:tcPr>
            <w:tcW w:type="dxa" w:w="544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FP/(FP+TN) = 2/(2+3) = 2/5</w:t>
            </w:r>
          </w:p>
        </w:tc>
        <w:tc>
          <w:tcPr>
            <w:tcW w:type="dxa" w:w="175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40.00%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TPR 真正例率</w:t>
            </w:r>
          </w:p>
        </w:tc>
        <w:tc>
          <w:tcPr>
            <w:tcW w:type="dxa" w:w="544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TP/(TP+FN) = 4/(4+1) = 4/5</w:t>
            </w:r>
          </w:p>
        </w:tc>
        <w:tc>
          <w:tcPr>
            <w:tcW w:type="dxa" w:w="175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80.00%</w:t>
            </w:r>
          </w:p>
        </w:tc>
      </w:tr>
    </w:tbl>
    <w:p>
      <w:pPr>
        <w:ind w:firstLine="369"/>
      </w:pPr>
      <w:r>
        <w:rPr>
          <w:b w:val="0"/>
        </w:rPr>
        <w:t>Recall与TPR采用同一分母，即全部实际异常样本；FPR的分母是全部实际正常样本。F1也可写成2×Precision×Recall/(Precision+Recall)，与上表结果一致。</w:t>
      </w:r>
    </w:p>
    <w:p>
      <w:pPr>
        <w:pStyle w:val="3"/>
        <w:pageBreakBefore/>
        <w:ind w:firstLine="0"/>
      </w:pPr>
      <w:r>
        <w:t>习题二 任意投毒与目标投毒实验</w:t>
      </w:r>
    </w:p>
    <w:p>
      <w:pPr>
        <w:pStyle w:val="3"/>
        <w:ind w:firstLine="0"/>
      </w:pPr>
      <w:r>
        <w:t>一 实验目的与攻击界定</w:t>
      </w:r>
    </w:p>
    <w:p>
      <w:pPr>
        <w:ind w:firstLine="369"/>
      </w:pPr>
      <w:r>
        <w:rPr>
          <w:b w:val="0"/>
        </w:rPr>
        <w:t>本实验通过污染分类模型的训练数据，分别观察整体性能退化和指定类别误判两种后果。实验使用本地真实MNIST手写数字数据，将训练样本固定为10000个，保留独立验证集和官方测试集，完成65次训练。所有实验仅修改训练标签，图像特征与测试集真实标签保持不变。</w:t>
      </w:r>
    </w:p>
    <w:p>
      <w:pPr>
        <w:ind w:firstLine="369"/>
      </w:pPr>
      <w:r>
        <w:rPr>
          <w:b w:val="0"/>
        </w:rPr>
        <w:t>结果表明，干净MLP的平均测试准确率为95.63%。随机修改60%的训练标签后，准确率降至78.66%；将数字3类内70%的标签定向改为8时，仅修改715个标签，3→8目标误判率达到79.58%。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2041"/>
        <w:gridCol w:w="7313"/>
      </w:tblGrid>
      <w:tr>
        <w:trPr>
          <w:cantSplit/>
          <w:tblHeader/>
        </w:trPr>
        <w:tc>
          <w:tcPr>
            <w:tcW w:type="dxa" w:w="2041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实验问题</w:t>
            </w:r>
          </w:p>
        </w:tc>
        <w:tc>
          <w:tcPr>
            <w:tcW w:type="dxa" w:w="7313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实现与证据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任意投毒如何设计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随机选取训练样本并改为其他类别，以准确率下降和宏平均F1衡量整体破坏。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目标投毒如何设计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仅对源类别3改标为8，测量目标误判率、源类召回率及其他类别准确率。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哪些因素影响效果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实测投毒预算、攻击方式、随机训练过程、类别组合及模型类型。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如何保证可核查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保存65次配置、完整预测、投毒索引、数据哈希、原始日志及11幅图。</w:t>
            </w:r>
          </w:p>
        </w:tc>
      </w:tr>
    </w:tbl>
    <w:p>
      <w:pPr>
        <w:pStyle w:val="4"/>
        <w:ind w:firstLine="0"/>
      </w:pPr>
      <w:r>
        <w:t>1.1 任意投毒与目标投毒的界定</w:t>
      </w:r>
    </w:p>
    <w:p>
      <w:pPr>
        <w:ind w:firstLine="369"/>
      </w:pPr>
      <w:r>
        <w:rPr>
          <w:b w:val="0"/>
        </w:rPr>
        <w:t>任意投毒以降低模型整体预测准确率为目标，不要求产生某个指定方向的错误；本实验从全部训练样本中随机改标。目标投毒以使指定样本或类别产生特定错误为目标；本实验仅将源类数字3的部分训练标签改为8，再检查真实数字3被判为8的比例。</w:t>
      </w:r>
    </w:p>
    <w:p>
      <w:pPr>
        <w:pStyle w:val="3"/>
        <w:pageBreakBefore/>
        <w:ind w:firstLine="0"/>
      </w:pPr>
      <w:r>
        <w:t>二 环境 数据与预处理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2041"/>
        <w:gridCol w:w="7313"/>
      </w:tblGrid>
      <w:tr>
        <w:trPr>
          <w:cantSplit/>
          <w:tblHeader/>
        </w:trPr>
        <w:tc>
          <w:tcPr>
            <w:tcW w:type="dxa" w:w="2041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313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本次实际配置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操作系统与计算设备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Windows 11；CPU执行，无GPU依赖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解释器与库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Python 3.12.7；NumPy 1.26.4；scikit-learn 1.5.1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其他依赖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SciPy 1.13.1；Matplotlib 3.9.2；threadpoolctl 3.5.0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数据来源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课程model_security_project/data/MNIST/raw中的真实MNIST IDX文件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抽样与划分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官方60000训练样本中分层抽取10000训练、2000验证；官方10000测试样本完整保留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固定随机协议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划分种子20261025；投毒与模型种子17、29、43、71、101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主模型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MLP多层感知机，196→96→10；ReLU隐层与softmax分类输出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训练设置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Adam；学习率0.001；批量128；L2系数0.0001；固定60轮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模型对照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多项逻辑回归；C=1；L-BFGS；最多1500次迭代且检查未到上限</w:t>
            </w:r>
          </w:p>
        </w:tc>
      </w:tr>
    </w:tbl>
    <w:p>
      <w:pPr>
        <w:pStyle w:val="4"/>
        <w:ind w:firstLine="0"/>
      </w:pPr>
      <w:r>
        <w:t>2.1 数据有效性检查</w:t>
      </w:r>
    </w:p>
    <w:p>
      <w:pPr>
        <w:ind w:firstLine="369"/>
      </w:pPr>
      <w:r>
        <w:rPr>
          <w:b w:val="0"/>
        </w:rPr>
        <w:t>程序直接解析IDX二进制头，检查类型、维数、图像尺寸、样本数量和负载长度。若原始文件损坏或缺失，程序终止，不生成随机图像作为替代。四个原始文件的SHA256写入metadata.json，分析阶段再次计算并比对，避免把来源不明的数据当成真实MNIST。</w:t>
      </w:r>
    </w:p>
    <w:p>
      <w:pPr>
        <w:pStyle w:val="4"/>
        <w:ind w:firstLine="0"/>
      </w:pPr>
      <w:r>
        <w:t>2.2 固定预处理与类别规模</w:t>
      </w:r>
    </w:p>
    <w:p>
      <w:pPr>
        <w:ind w:firstLine="369"/>
      </w:pPr>
      <w:r>
        <w:rPr>
          <w:b w:val="0"/>
        </w:rPr>
        <w:t>每张28×28灰度图使用互不重叠的2×2均值池化得到14×14，再除以255映射至[0,1]，展开为196维特征。该变换没有需要估计的统计参数，因此不会从测试集学习均值、方差或降维方向。</w:t>
      </w:r>
    </w:p>
    <w:p>
      <w:pPr>
        <w:ind w:firstLine="369"/>
      </w:pPr>
      <w:r>
        <w:rPr>
          <w:b w:val="0"/>
        </w:rPr>
        <w:t>训练集数字3有1022个、数字8有975个，官方测试集数字3有1010个。0→1补充实验中，数字0训练样本为987个，测试样本为980个。验证集来自官方训练集的剩余部分，与本次训练索引完全不相交。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56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mpl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ind w:firstLine="0"/>
        <w:jc w:val="center"/>
      </w:pPr>
      <w:r>
        <w:t>图2 固定顺序的数字3测试样本及对应官方测试索引</w:t>
      </w:r>
    </w:p>
    <w:p>
      <w:pPr>
        <w:pStyle w:val="3"/>
        <w:pageBreakBefore/>
        <w:ind w:firstLine="0"/>
      </w:pPr>
      <w:r>
        <w:t>三 威胁模型与评估口径</w:t>
      </w:r>
    </w:p>
    <w:p>
      <w:pPr>
        <w:pStyle w:val="4"/>
        <w:ind w:firstLine="0"/>
      </w:pPr>
      <w:r>
        <w:t>3.1 攻击能力与控制变量</w:t>
      </w:r>
    </w:p>
    <w:p>
      <w:pPr>
        <w:ind w:firstLine="369"/>
      </w:pPr>
      <w:r>
        <w:rPr>
          <w:b w:val="0"/>
        </w:rPr>
        <w:t>攻击者被模拟为能够污染部分训练标注的数据提供方。主实验允许修改标签，不修改原始文件、测试数据或模型程序。每种预算均从原始干净数组复制，重新生成污染数据、重新初始化模型，不继承前一次攻击的参数或标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2041"/>
        <w:gridCol w:w="7313"/>
      </w:tblGrid>
      <w:tr>
        <w:trPr>
          <w:cantSplit/>
          <w:tblHeader/>
        </w:trPr>
        <w:tc>
          <w:tcPr>
            <w:tcW w:type="dxa" w:w="2041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控制项</w:t>
            </w:r>
          </w:p>
        </w:tc>
        <w:tc>
          <w:tcPr>
            <w:tcW w:type="dxa" w:w="7313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具体处理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训练和评估分离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投毒索引只在10000个训练样本中选择；测试输入和真值保留原样。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配对随机种子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同一种子下模型初始化、训练次序及投毒候选顺序受同一确定性协议控制。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训练预算一致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全部MLP固定60轮；验证集仅记录过程，不根据测试ASR选轮数。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多次重复</w:t>
            </w:r>
          </w:p>
        </w:tc>
        <w:tc>
          <w:tcPr>
            <w:tcW w:type="dxa" w:w="731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每种配置重复5次，报告均值与样本标准差，保留单次预测。</w:t>
            </w:r>
          </w:p>
        </w:tc>
      </w:tr>
    </w:tbl>
    <w:p>
      <w:pPr>
        <w:pStyle w:val="4"/>
        <w:ind w:firstLine="0"/>
      </w:pPr>
      <w:r>
        <w:t>3.2 比例分母与主要指标</w:t>
      </w:r>
    </w:p>
    <w:p>
      <w:pPr>
        <w:ind w:firstLine="369"/>
      </w:pPr>
      <w:r>
        <w:rPr>
          <w:b w:val="0"/>
        </w:rPr>
        <w:t>设训练样本总数N=10000，源类3样本数Ns=1022。任意投毒数量m=floor(r×N)；目标投毒数量m=floor(q×Ns)。统一的全局预算为m/N，源类内部污染比例为m/Ns。只写“投毒70%”而不说明分母会严重误导比较。</w:t>
      </w:r>
    </w:p>
    <w:p>
      <w:pPr>
        <w:ind w:firstLine="369"/>
      </w:pPr>
      <w:r>
        <w:rPr>
          <w:b w:val="0"/>
        </w:rPr>
        <w:t>整体准确率 Acc = 正确预测样本数 / 10000。任意投毒损害 ΔAcc = 同模型同种子干净准确率 − 投毒准确率，单位为百分点。任意攻击没有指定错误目标，不把“预测错”与3→8的ASR混为一个指标。</w:t>
      </w:r>
    </w:p>
    <w:p>
      <w:pPr>
        <w:ind w:firstLine="369"/>
      </w:pPr>
      <w:r>
        <w:rPr>
          <w:b w:val="0"/>
        </w:rPr>
        <w:t>目标攻击成功率 ASR(3→8) = 真实为3且预测为8的样本数 / 1010；源类召回率 R3 = 真实为3且预测为3的样本数 / 1010；非源类准确率 Acc¬3 以其余8990个样本为分母。由于还可能错到其他标签，ASR不等于1−R3。</w:t>
      </w:r>
    </w:p>
    <w:p>
      <w:pPr>
        <w:ind w:firstLine="369"/>
      </w:pPr>
      <w:r>
        <w:rPr>
          <w:b w:val="0"/>
        </w:rPr>
        <w:t>报告同时记录宏平均F1，即先分别计算10类F1后等权平均；这可以补充观察类别性能不均衡。配对ASR增量扣除干净基线中的天然3→8错误；另记录基线正确源类样本被攻击模型判为8的条件比例，用于核对新增错误。</w:t>
      </w:r>
    </w:p>
    <w:p>
      <w:pPr>
        <w:pStyle w:val="4"/>
        <w:ind w:firstLine="0"/>
      </w:pPr>
      <w:r>
        <w:t>3.3 误差线应如何阅读</w:t>
      </w:r>
    </w:p>
    <w:p>
      <w:pPr>
        <w:ind w:firstLine="369"/>
      </w:pPr>
      <w:r>
        <w:rPr>
          <w:b w:val="0"/>
        </w:rPr>
        <w:t>表中“均值±标准差”和图中误差线都来自5次重复的样本标准差，标准差分母为4；不是95%置信区间。数据划分固定，种子同时改变投毒采样、MLP初始化和训练打乱，因此波动不能完全归因于投毒样本选择，也不代表总体泛化误差。</w:t>
      </w:r>
    </w:p>
    <w:p>
      <w:pPr>
        <w:pStyle w:val="3"/>
        <w:pageBreakBefore/>
        <w:ind w:firstLine="0"/>
      </w:pPr>
      <w:r>
        <w:t>四 实验流程与实现约束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19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1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ind w:firstLine="0"/>
        <w:jc w:val="center"/>
      </w:pPr>
      <w:r>
        <w:t>图3 从原始数据检查到独立测试的完整流程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2381"/>
        <w:gridCol w:w="6973"/>
      </w:tblGrid>
      <w:tr>
        <w:trPr>
          <w:cantSplit/>
          <w:tblHeader/>
        </w:trPr>
        <w:tc>
          <w:tcPr>
            <w:tcW w:type="dxa" w:w="2381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配置组</w:t>
            </w:r>
          </w:p>
        </w:tc>
        <w:tc>
          <w:tcPr>
            <w:tcW w:type="dxa" w:w="6973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预算与次数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MLP任意投毒</w:t>
            </w:r>
          </w:p>
        </w:tc>
        <w:tc>
          <w:tcPr>
            <w:tcW w:type="dxa" w:w="697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全局0%、7%、10%、20%、40%、60%，各5次，共30次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MLP目标3→8</w:t>
            </w:r>
          </w:p>
        </w:tc>
        <w:tc>
          <w:tcPr>
            <w:tcW w:type="dxa" w:w="697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源类10%、30%、50%、70%，各5次，共20次；0%复用5个干净MLP基线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MLP类别对照0→1</w:t>
            </w:r>
          </w:p>
        </w:tc>
        <w:tc>
          <w:tcPr>
            <w:tcW w:type="dxa" w:w="697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数字0类内50%，5次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逻辑回归模型对照</w:t>
            </w:r>
          </w:p>
        </w:tc>
        <w:tc>
          <w:tcPr>
            <w:tcW w:type="dxa" w:w="697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3→8源类0%、50%，各5次，共10次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合计</w:t>
            </w:r>
          </w:p>
        </w:tc>
        <w:tc>
          <w:tcPr>
            <w:tcW w:type="dxa" w:w="6973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65次真实训练，13组完整统计配置</w:t>
            </w:r>
          </w:p>
        </w:tc>
      </w:tr>
    </w:tbl>
    <w:p>
      <w:pPr>
        <w:pStyle w:val="4"/>
        <w:ind w:firstLine="0"/>
      </w:pPr>
      <w:r>
        <w:t>4.1 按顺序执行的步骤</w:t>
      </w:r>
    </w:p>
    <w:p>
      <w:pPr>
        <w:ind w:firstLine="369"/>
      </w:pPr>
      <w:r>
        <w:rPr>
          <w:b w:val="0"/>
        </w:rPr>
        <w:t>第一步，核验原始IDX并保存哈希，进行固定分层抽样。第二步，对每个种子训练干净MLP，保留预测作为配对基线。第三步，按预算污染训练标签并独立训练主实验。第四步，保持数据协议，增加类别和模型对照。第五步，在官方测试集计算最终指标并保存完整预测。第六步，重建统计表、曲线和混淆矩阵，逐项检查计数一致性。</w:t>
      </w:r>
    </w:p>
    <w:p>
      <w:pPr>
        <w:pStyle w:val="4"/>
        <w:ind w:firstLine="0"/>
      </w:pPr>
      <w:r>
        <w:t>4.2 固定训练预算的实现</w:t>
      </w:r>
    </w:p>
    <w:p>
      <w:pPr>
        <w:pStyle w:val="LabCode"/>
        <w:keepNext/>
        <w:ind w:firstLine="0"/>
        <w:shd w:fill="F3F4F5"/>
      </w:pPr>
      <w:r>
        <w:t>model = MLPClassifier(hidden_layer_sizes=(96,), activation='relu',</w:t>
      </w:r>
    </w:p>
    <w:p>
      <w:pPr>
        <w:pStyle w:val="LabCode"/>
        <w:keepNext/>
        <w:ind w:firstLine="0"/>
        <w:shd w:fill="F3F4F5"/>
      </w:pPr>
      <w:r>
        <w:t xml:space="preserve">    solver='adam', alpha=1e-4, batch_size=128,</w:t>
      </w:r>
    </w:p>
    <w:p>
      <w:pPr>
        <w:pStyle w:val="LabCode"/>
        <w:keepNext/>
        <w:ind w:firstLine="0"/>
        <w:shd w:fill="F3F4F5"/>
      </w:pPr>
      <w:r>
        <w:t xml:space="preserve">    learning_rate_init=.001, random_state=setting.seed,</w:t>
      </w:r>
    </w:p>
    <w:p>
      <w:pPr>
        <w:pStyle w:val="LabCode"/>
        <w:keepNext/>
        <w:ind w:firstLine="0"/>
        <w:shd w:fill="F3F4F5"/>
      </w:pPr>
      <w:r>
        <w:t xml:space="preserve">    shuffle=True, early_stopping=False)</w:t>
      </w:r>
    </w:p>
    <w:p>
      <w:pPr>
        <w:pStyle w:val="LabCode"/>
        <w:keepNext/>
        <w:ind w:firstLine="0"/>
        <w:shd w:fill="F3F4F5"/>
      </w:pPr>
      <w:r>
        <w:t>for epoch in range(1, setting.epochs + 1):</w:t>
      </w:r>
    </w:p>
    <w:p>
      <w:pPr>
        <w:pStyle w:val="LabCode"/>
        <w:keepNext w:val="0"/>
        <w:ind w:firstLine="0"/>
        <w:shd w:fill="F3F4F5"/>
      </w:pPr>
      <w:r>
        <w:t xml:space="preserve">    model.partial_fit(Xp, yp, classes=np.arange(10))</w:t>
      </w:r>
    </w:p>
    <w:p>
      <w:pPr>
        <w:spacing w:after="0"/>
      </w:pPr>
    </w:p>
    <w:p>
      <w:pPr>
        <w:ind w:firstLine="369"/>
      </w:pPr>
      <w:r>
        <w:rPr>
          <w:b w:val="0"/>
        </w:rPr>
        <w:t>partial_fit每次遍历一次当前训练集，持续更新同一模型，避免反复调用fit导致重新训练。训练损失对污染后的监督标签计算，下降只表示更好地拟合当前训练数据，不能自动解释为安全性提高。</w:t>
      </w:r>
    </w:p>
    <w:p>
      <w:pPr>
        <w:pStyle w:val="3"/>
        <w:pageBreakBefore/>
        <w:ind w:firstLine="0"/>
      </w:pPr>
      <w:r>
        <w:t>五 任意投毒的设计与操作</w:t>
      </w:r>
    </w:p>
    <w:p>
      <w:pPr>
        <w:pStyle w:val="4"/>
        <w:ind w:firstLine="0"/>
      </w:pPr>
      <w:r>
        <w:t>5.1 设计思路</w:t>
      </w:r>
    </w:p>
    <w:p>
      <w:pPr>
        <w:ind w:firstLine="369"/>
      </w:pPr>
      <w:r>
        <w:rPr>
          <w:b w:val="0"/>
        </w:rPr>
        <w:t>任意投毒通过制造方向分散的错误监督，使模型更难恢复“图像—正确类别”的关系。选中的样本可以来自任意训练类别，其错误标签均匀选自原标签之外的9类。图像本身不变，正常测试输入也不变，因此观察到的损害来自训练过程受到污染。</w:t>
      </w:r>
    </w:p>
    <w:p>
      <w:pPr>
        <w:pStyle w:val="4"/>
        <w:ind w:firstLine="0"/>
      </w:pPr>
      <w:r>
        <w:t>5.2 核心改标逻辑</w:t>
      </w:r>
    </w:p>
    <w:p>
      <w:pPr>
        <w:pStyle w:val="LabCode"/>
        <w:keepNext/>
        <w:ind w:firstLine="0"/>
        <w:shd w:fill="F3F4F5"/>
      </w:pPr>
      <w:r>
        <w:t>rng = np.random.default_rng(setting.seed)</w:t>
      </w:r>
    </w:p>
    <w:p>
      <w:pPr>
        <w:pStyle w:val="LabCode"/>
        <w:keepNext/>
        <w:ind w:firstLine="0"/>
        <w:shd w:fill="F3F4F5"/>
      </w:pPr>
      <w:r>
        <w:t>pool = np.arange(len(y))</w:t>
      </w:r>
    </w:p>
    <w:p>
      <w:pPr>
        <w:pStyle w:val="LabCode"/>
        <w:keepNext/>
        <w:ind w:firstLine="0"/>
        <w:shd w:fill="F3F4F5"/>
      </w:pPr>
      <w:r>
        <w:t>order = rng.permutation(pool)</w:t>
      </w:r>
    </w:p>
    <w:p>
      <w:pPr>
        <w:pStyle w:val="LabCode"/>
        <w:keepNext/>
        <w:ind w:firstLine="0"/>
        <w:shd w:fill="F3F4F5"/>
      </w:pPr>
      <w:r>
        <w:t>n = int(np.floor(setting.rate * len(pool)))</w:t>
      </w:r>
    </w:p>
    <w:p>
      <w:pPr>
        <w:pStyle w:val="LabCode"/>
        <w:keepNext/>
        <w:ind w:firstLine="0"/>
        <w:shd w:fill="F3F4F5"/>
      </w:pPr>
      <w:r>
        <w:t>chosen = order[:n]</w:t>
      </w:r>
    </w:p>
    <w:p>
      <w:pPr>
        <w:pStyle w:val="LabCode"/>
        <w:keepNext/>
        <w:ind w:firstLine="0"/>
        <w:shd w:fill="F3F4F5"/>
      </w:pPr>
      <w:r>
        <w:t>yp = y.copy()</w:t>
      </w:r>
    </w:p>
    <w:p>
      <w:pPr>
        <w:pStyle w:val="LabCode"/>
        <w:keepNext/>
        <w:ind w:firstLine="0"/>
        <w:shd w:fill="F3F4F5"/>
      </w:pPr>
      <w:r>
        <w:t>alternatives = (y[order] + rng.integers(1, 10, len(order))) % 10</w:t>
      </w:r>
    </w:p>
    <w:p>
      <w:pPr>
        <w:pStyle w:val="LabCode"/>
        <w:keepNext/>
        <w:ind w:firstLine="0"/>
        <w:shd w:fill="F3F4F5"/>
      </w:pPr>
      <w:r>
        <w:t>yp[chosen] = alternatives[:n]</w:t>
      </w:r>
    </w:p>
    <w:p>
      <w:pPr>
        <w:pStyle w:val="LabCode"/>
        <w:keepNext w:val="0"/>
        <w:ind w:firstLine="0"/>
        <w:shd w:fill="F3F4F5"/>
      </w:pPr>
      <w:r>
        <w:t>assert np.count_nonzero(yp != y) == n</w:t>
      </w:r>
    </w:p>
    <w:p>
      <w:pPr>
        <w:spacing w:after="0"/>
      </w:pPr>
    </w:p>
    <w:p>
      <w:pPr>
        <w:ind w:firstLine="369"/>
      </w:pPr>
      <w:r>
        <w:rPr>
          <w:b w:val="0"/>
        </w:rPr>
        <w:t>偏移量只取1至9再模10，确保每个被选标签都真正改变。若直接从0至9随机赋值，约十分之一的选中样本可能维持原标签，导致“选中比例”高于“实际投毒比例”。同种子共享候选排列与错误标签，随预算扩大形成嵌套集合，减少预算对照中无关的采样差异。</w:t>
      </w:r>
    </w:p>
    <w:p>
      <w:pPr>
        <w:pStyle w:val="4"/>
        <w:ind w:firstLine="0"/>
      </w:pPr>
      <w:r>
        <w:t>5.3 从输入到指标的操作过程</w:t>
      </w:r>
    </w:p>
    <w:p>
      <w:pPr>
        <w:ind w:firstLine="369"/>
      </w:pPr>
      <w:r>
        <w:rPr>
          <w:b w:val="0"/>
        </w:rPr>
        <w:t>先从10000个训练位置产生随机顺序；例如60%预算取前6000个位置，复制标签后统一执行错误赋值。随后用原始图像与污染标签训练新的MLP，在10000个官方干净测试样本上预测，和同种子干净模型比较准确率、宏平均F1及错误分布。所有预算之间不累计污染。</w:t>
      </w:r>
    </w:p>
    <w:p>
      <w:pPr>
        <w:ind w:firstLine="369"/>
      </w:pPr>
      <w:r>
        <w:rPr>
          <w:b w:val="0"/>
        </w:rPr>
        <w:t>7%组额外提供低预算观察，与目标70%组的全局7.15%接近，但二者分别改标700个和715个样本。它们不是严格等预算试验，后文只作量级比较，不据此报告精确的攻击效率倍率。</w:t>
      </w:r>
    </w:p>
    <w:p>
      <w:pPr>
        <w:pStyle w:val="4"/>
        <w:ind w:firstLine="0"/>
      </w:pPr>
      <w:r>
        <w:t>5.4 对该方法的预期</w:t>
      </w:r>
    </w:p>
    <w:p>
      <w:pPr>
        <w:ind w:firstLine="369"/>
      </w:pPr>
      <w:r>
        <w:rPr>
          <w:b w:val="0"/>
        </w:rPr>
        <w:t>较低污染率下，剩余正确标注仍可能主导决策；较高污染率下，模型既要学习图像规律，又要拟合相互冲突的标签，正常泛化性能可能退化。是否单调、何时明显退化、波动多大，都需要依据实际记录判断，不能预先写入结论。</w:t>
      </w:r>
    </w:p>
    <w:p>
      <w:pPr>
        <w:pStyle w:val="3"/>
        <w:pageBreakBefore/>
        <w:ind w:firstLine="0"/>
      </w:pPr>
      <w:r>
        <w:t>六 任意投毒的实测结果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1191"/>
        <w:gridCol w:w="850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191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全局投毒率</w:t>
            </w:r>
          </w:p>
        </w:tc>
        <w:tc>
          <w:tcPr>
            <w:tcW w:type="dxa" w:w="850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改标数</w:t>
            </w:r>
          </w:p>
        </w:tc>
        <w:tc>
          <w:tcPr>
            <w:tcW w:type="dxa" w:w="2438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准确率 %</w:t>
            </w:r>
          </w:p>
        </w:tc>
        <w:tc>
          <w:tcPr>
            <w:tcW w:type="dxa" w:w="2438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宏平均F1 %</w:t>
            </w:r>
          </w:p>
        </w:tc>
        <w:tc>
          <w:tcPr>
            <w:tcW w:type="dxa" w:w="2438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准确率下降 pp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850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95.63 ± 0.14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95.59 ± 0.14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0.00 ± 0.00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7.00%</w:t>
            </w:r>
          </w:p>
        </w:tc>
        <w:tc>
          <w:tcPr>
            <w:tcW w:type="dxa" w:w="850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94.71 ± 0.14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94.66 ± 0.15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0.92 ± 0.21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10.00%</w:t>
            </w:r>
          </w:p>
        </w:tc>
        <w:tc>
          <w:tcPr>
            <w:tcW w:type="dxa" w:w="850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94.38 ± 0.17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94.33 ± 0.18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1.25 ± 0.27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20.00%</w:t>
            </w:r>
          </w:p>
        </w:tc>
        <w:tc>
          <w:tcPr>
            <w:tcW w:type="dxa" w:w="850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2000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93.29 ± 0.39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93.22 ± 0.41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2.35 ± 0.49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40.00%</w:t>
            </w:r>
          </w:p>
        </w:tc>
        <w:tc>
          <w:tcPr>
            <w:tcW w:type="dxa" w:w="850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4000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89.58 ± 0.60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89.46 ± 0.60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6.05 ± 0.73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60.00%</w:t>
            </w:r>
          </w:p>
        </w:tc>
        <w:tc>
          <w:tcPr>
            <w:tcW w:type="dxa" w:w="850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6000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78.66 ± 1.07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78.34 ± 1.10</w:t>
            </w:r>
          </w:p>
        </w:tc>
        <w:tc>
          <w:tcPr>
            <w:tcW w:type="dxa" w:w="243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16.98 ± 1.12</w:t>
            </w:r>
          </w:p>
        </w:tc>
      </w:tr>
    </w:tbl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75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discrimin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7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ind w:firstLine="0"/>
        <w:jc w:val="center"/>
      </w:pPr>
      <w:r>
        <w:t>图4 任意投毒预算与整体性能 5次均值 误差线为样本标准差</w:t>
      </w:r>
    </w:p>
    <w:p>
      <w:pPr>
        <w:ind w:firstLine="369"/>
      </w:pPr>
      <w:r>
        <w:rPr>
          <w:b w:val="0"/>
        </w:rPr>
        <w:t>在本次固定训练协议下，平均准确率随污染预算增大而下降。10%污染时为94.38%，40%污染时为89.58%，60%污染时为78.66%，相对干净基线下降16.98个百分点。曲线在高污染段下降更快，说明本模型在剩余正确监督不足时退化明显。</w:t>
      </w:r>
    </w:p>
    <w:p>
      <w:pPr>
        <w:ind w:firstLine="369"/>
      </w:pPr>
      <w:r>
        <w:rPr>
          <w:b w:val="0"/>
        </w:rPr>
        <w:t>宏平均F1与整体准确率同时下降，表明现象并非仅由某个测试类别数量占比造成。60%组准确率的样本标准差为1.07个百分点，高于干净基线的0.14个百分点，显示大量错误标签还会放大当前训练流程的随机波动。</w:t>
      </w:r>
    </w:p>
    <w:p>
      <w:pPr>
        <w:ind w:firstLine="369"/>
      </w:pPr>
      <w:r>
        <w:rPr>
          <w:b w:val="0"/>
        </w:rPr>
        <w:t>这里观察到的是若干离散预算上的均值趋势；不能将其提升为任何数据集、任何模型均严格单调的定律。模型仍有明显分类能力，也不意味着6000个错误标注可被数据治理流程接受。</w:t>
      </w:r>
    </w:p>
    <w:p>
      <w:pPr>
        <w:pStyle w:val="3"/>
        <w:pageBreakBefore/>
        <w:ind w:firstLine="0"/>
      </w:pPr>
      <w:r>
        <w:t>七 任意投毒的错误分布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80000" cy="258088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onfusio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580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80000" cy="258088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confusio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580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5"/>
        <w:jc w:val="center"/>
      </w:pPr>
      <w:r>
        <w:t>图5 同一seed=17的干净基线与60%任意投毒混淆矩阵</w:t>
      </w:r>
    </w:p>
    <w:p>
      <w:pPr>
        <w:ind w:firstLine="369"/>
      </w:pPr>
      <w:r>
        <w:rPr>
          <w:b w:val="0"/>
        </w:rPr>
        <w:t>矩阵纵轴为真实标签，横轴为预测标签；颜色按每个真实类别内部归一化，格内数字保留实际样本数量。两幅矩阵来自预先固定的seed=17，避免根据结果挑选最显著的一次。它们不是5次平均矩阵。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1814"/>
        <w:gridCol w:w="2494"/>
        <w:gridCol w:w="2494"/>
        <w:gridCol w:w="2551"/>
      </w:tblGrid>
      <w:tr>
        <w:trPr>
          <w:cantSplit/>
          <w:tblHeader/>
        </w:trPr>
        <w:tc>
          <w:tcPr>
            <w:tcW w:type="dxa" w:w="181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真实数字</w:t>
            </w:r>
          </w:p>
        </w:tc>
        <w:tc>
          <w:tcPr>
            <w:tcW w:type="dxa" w:w="24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干净正确数</w:t>
            </w:r>
          </w:p>
        </w:tc>
        <w:tc>
          <w:tcPr>
            <w:tcW w:type="dxa" w:w="24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投毒后正确数</w:t>
            </w:r>
          </w:p>
        </w:tc>
        <w:tc>
          <w:tcPr>
            <w:tcW w:type="dxa" w:w="2551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该类测试样本数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965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758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980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1118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1077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1135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965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792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1032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973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620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1010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940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841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982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848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545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892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919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731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958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987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896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1028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905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722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974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952</w:t>
            </w:r>
          </w:p>
        </w:tc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723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1009</w:t>
            </w:r>
          </w:p>
        </w:tc>
      </w:tr>
    </w:tbl>
    <w:p>
      <w:pPr>
        <w:ind w:firstLine="369"/>
      </w:pPr>
      <w:r>
        <w:rPr>
          <w:b w:val="0"/>
        </w:rPr>
        <w:t>干净模型的质量主要集中在对角线；投毒后多个真实类别向不同错误类别分散，而非统一指向数字8。这与随机错误标签的设计一致。不同类别下降幅度不完全相同，说明即使攻击没有指定对象，数据特征与模型边界也会决定哪些类更脆弱。</w:t>
      </w:r>
    </w:p>
    <w:p>
      <w:pPr>
        <w:ind w:firstLine="369"/>
      </w:pPr>
      <w:r>
        <w:rPr>
          <w:b w:val="0"/>
        </w:rPr>
        <w:t>对角线变化用于解释错误来源，整体损害仍应回到10000个样本上的准确率以及5次汇总结果。单幅矩阵不能替代重复实验，更不能被当成攻击必然达到的结果。</w:t>
      </w:r>
    </w:p>
    <w:p>
      <w:pPr>
        <w:pStyle w:val="3"/>
        <w:pageBreakBefore/>
        <w:ind w:firstLine="0"/>
      </w:pPr>
      <w:r>
        <w:t>八 目标投毒的设计与操作</w:t>
      </w:r>
    </w:p>
    <w:p>
      <w:pPr>
        <w:pStyle w:val="4"/>
        <w:ind w:firstLine="0"/>
      </w:pPr>
      <w:r>
        <w:t>8.1 设计思路与攻击目标</w:t>
      </w:r>
    </w:p>
    <w:p>
      <w:pPr>
        <w:ind w:firstLine="369"/>
      </w:pPr>
      <w:r>
        <w:rPr>
          <w:b w:val="0"/>
        </w:rPr>
        <w:t>主目标设为数字3→8。与任意改标不同，所有错误监督都集中在源类3，并统一指向目标类8；训练与测试图像保持不变。这会改变模型对源类区域的决策偏好，使未被修改过的真实测试图像也可能沿指定方向误判。</w:t>
      </w:r>
    </w:p>
    <w:p>
      <w:pPr>
        <w:pStyle w:val="LabCode"/>
        <w:keepNext/>
        <w:ind w:firstLine="0"/>
        <w:shd w:fill="F3F4F5"/>
      </w:pPr>
      <w:r>
        <w:t>pool = np.flatnonzero(y == setting.source)</w:t>
      </w:r>
    </w:p>
    <w:p>
      <w:pPr>
        <w:pStyle w:val="LabCode"/>
        <w:keepNext/>
        <w:ind w:firstLine="0"/>
        <w:shd w:fill="F3F4F5"/>
      </w:pPr>
      <w:r>
        <w:t>order = np.random.default_rng(setting.seed).permutation(pool)</w:t>
      </w:r>
    </w:p>
    <w:p>
      <w:pPr>
        <w:pStyle w:val="LabCode"/>
        <w:keepNext/>
        <w:ind w:firstLine="0"/>
        <w:shd w:fill="F3F4F5"/>
      </w:pPr>
      <w:r>
        <w:t>n = int(np.floor(setting.rate * len(pool)))</w:t>
      </w:r>
    </w:p>
    <w:p>
      <w:pPr>
        <w:pStyle w:val="LabCode"/>
        <w:keepNext/>
        <w:ind w:firstLine="0"/>
        <w:shd w:fill="F3F4F5"/>
      </w:pPr>
      <w:r>
        <w:t>chosen = order[:n]</w:t>
      </w:r>
    </w:p>
    <w:p>
      <w:pPr>
        <w:pStyle w:val="LabCode"/>
        <w:keepNext/>
        <w:ind w:firstLine="0"/>
        <w:shd w:fill="F3F4F5"/>
      </w:pPr>
      <w:r>
        <w:t>Xp, yp = X.copy(), y.copy()</w:t>
      </w:r>
    </w:p>
    <w:p>
      <w:pPr>
        <w:pStyle w:val="LabCode"/>
        <w:keepNext/>
        <w:ind w:firstLine="0"/>
        <w:shd w:fill="F3F4F5"/>
      </w:pPr>
      <w:r>
        <w:t>yp[chosen] = setting.target</w:t>
      </w:r>
    </w:p>
    <w:p>
      <w:pPr>
        <w:pStyle w:val="LabCode"/>
        <w:keepNext/>
        <w:ind w:firstLine="0"/>
        <w:shd w:fill="F3F4F5"/>
      </w:pPr>
      <w:r>
        <w:t>assert np.all(y[chosen] == setting.source)</w:t>
      </w:r>
    </w:p>
    <w:p>
      <w:pPr>
        <w:pStyle w:val="LabCode"/>
        <w:keepNext w:val="0"/>
        <w:ind w:firstLine="0"/>
        <w:shd w:fill="F3F4F5"/>
      </w:pPr>
      <w:r>
        <w:t>assert np.array_equal(Xp, X)</w:t>
      </w:r>
    </w:p>
    <w:p>
      <w:pPr>
        <w:spacing w:after="0"/>
      </w:pPr>
    </w:p>
    <w:p>
      <w:pPr>
        <w:pStyle w:val="4"/>
        <w:ind w:firstLine="0"/>
      </w:pPr>
      <w:r>
        <w:t>8.2 实际操作与预算换算</w:t>
      </w:r>
    </w:p>
    <w:p>
      <w:pPr>
        <w:ind w:firstLine="369"/>
      </w:pPr>
      <w:r>
        <w:rPr>
          <w:b w:val="0"/>
        </w:rPr>
        <w:t>从1022个数字3训练样本中按同一种子产生顺序，分别取10%、30%、50%、70%的前缀改标为8。例如70%配置向下取整修改715个标签，源类实际污染率为69.96%，对应全局7.15%。其余9285个训练标签保持正确。每种配置独立训练5次。</w:t>
      </w:r>
    </w:p>
    <w:p>
      <w:pPr>
        <w:ind w:firstLine="369"/>
      </w:pPr>
      <w:r>
        <w:rPr>
          <w:b w:val="0"/>
        </w:rPr>
        <w:t>攻击者对哪个类别改标，评估时就使用该类别的真实测试样本作分母。对3→8实验，源类样本是1010个数字3；不能把全部10000张图像作ASR分母，也不能仅计算攻击模型已经误判的子集。</w:t>
      </w:r>
    </w:p>
    <w:p>
      <w:pPr>
        <w:pStyle w:val="4"/>
        <w:ind w:firstLine="0"/>
      </w:pPr>
      <w:r>
        <w:t>8.3 成功率与正常性能同时检查</w:t>
      </w:r>
    </w:p>
    <w:p>
      <w:pPr>
        <w:pStyle w:val="LabCode"/>
        <w:keepNext/>
        <w:ind w:firstLine="0"/>
        <w:shd w:fill="F3F4F5"/>
      </w:pPr>
      <w:r>
        <w:t>source_mask = (ytest == source)</w:t>
      </w:r>
    </w:p>
    <w:p>
      <w:pPr>
        <w:pStyle w:val="LabCode"/>
        <w:keepNext/>
        <w:ind w:firstLine="0"/>
        <w:shd w:fill="F3F4F5"/>
      </w:pPr>
      <w:r>
        <w:t>asr = np.mean(pred[source_mask] == target)</w:t>
      </w:r>
    </w:p>
    <w:p>
      <w:pPr>
        <w:pStyle w:val="LabCode"/>
        <w:keepNext/>
        <w:ind w:firstLine="0"/>
        <w:shd w:fill="F3F4F5"/>
      </w:pPr>
      <w:r>
        <w:t>source_recall = np.mean(pred[source_mask] == source)</w:t>
      </w:r>
    </w:p>
    <w:p>
      <w:pPr>
        <w:pStyle w:val="LabCode"/>
        <w:keepNext w:val="0"/>
        <w:ind w:firstLine="0"/>
        <w:shd w:fill="F3F4F5"/>
      </w:pPr>
      <w:r>
        <w:t>other_accuracy = np.mean(pred[~source_mask] == ytest[~source_mask])</w:t>
      </w:r>
    </w:p>
    <w:p>
      <w:pPr>
        <w:spacing w:after="0"/>
      </w:pPr>
    </w:p>
    <w:p>
      <w:pPr>
        <w:ind w:firstLine="369"/>
      </w:pPr>
      <w:r>
        <w:rPr>
          <w:b w:val="0"/>
        </w:rPr>
        <w:t>定向污染可能主要伤害源类，整体平均分数会稀释其影响。因此同时检查ASR、源类召回率和非源类准确率。干净模型本来就可能把少数3判为8，故paired_runs.csv另保存同模型同种子的ASR增量，避免把天然错误全部归功于攻击。</w:t>
      </w:r>
    </w:p>
    <w:p>
      <w:pPr>
        <w:pStyle w:val="3"/>
        <w:pageBreakBefore/>
        <w:ind w:firstLine="0"/>
      </w:pPr>
      <w:r>
        <w:t>九 目标投毒的实测结果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1134"/>
        <w:gridCol w:w="680"/>
        <w:gridCol w:w="1134"/>
        <w:gridCol w:w="2041"/>
        <w:gridCol w:w="2211"/>
        <w:gridCol w:w="2154"/>
      </w:tblGrid>
      <w:tr>
        <w:trPr>
          <w:cantSplit/>
          <w:tblHeader/>
        </w:trPr>
        <w:tc>
          <w:tcPr>
            <w:tcW w:type="dxa" w:w="113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源类设定率</w:t>
            </w:r>
          </w:p>
        </w:tc>
        <w:tc>
          <w:tcPr>
            <w:tcW w:type="dxa" w:w="680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改标数</w:t>
            </w:r>
          </w:p>
        </w:tc>
        <w:tc>
          <w:tcPr>
            <w:tcW w:type="dxa" w:w="113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全局实际率</w:t>
            </w:r>
          </w:p>
        </w:tc>
        <w:tc>
          <w:tcPr>
            <w:tcW w:type="dxa" w:w="2041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整体准确率 %</w:t>
            </w:r>
          </w:p>
        </w:tc>
        <w:tc>
          <w:tcPr>
            <w:tcW w:type="dxa" w:w="2211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3→8 ASR %</w:t>
            </w:r>
          </w:p>
        </w:tc>
        <w:tc>
          <w:tcPr>
            <w:tcW w:type="dxa" w:w="215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数字3召回率 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680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95.63 ± 0.14</w:t>
            </w:r>
          </w:p>
        </w:tc>
        <w:tc>
          <w:tcPr>
            <w:tcW w:type="dxa" w:w="221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1.21 ± 0.59</w:t>
            </w:r>
          </w:p>
        </w:tc>
        <w:tc>
          <w:tcPr>
            <w:tcW w:type="dxa" w:w="215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94.75 ± 1.23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10.00%</w:t>
            </w:r>
          </w:p>
        </w:tc>
        <w:tc>
          <w:tcPr>
            <w:tcW w:type="dxa" w:w="680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1.02%</w:t>
            </w:r>
          </w:p>
        </w:tc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95.17 ± 0.17</w:t>
            </w:r>
          </w:p>
        </w:tc>
        <w:tc>
          <w:tcPr>
            <w:tcW w:type="dxa" w:w="221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4.34 ± 1.54</w:t>
            </w:r>
          </w:p>
        </w:tc>
        <w:tc>
          <w:tcPr>
            <w:tcW w:type="dxa" w:w="215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91.45 ± 1.99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30.00%</w:t>
            </w:r>
          </w:p>
        </w:tc>
        <w:tc>
          <w:tcPr>
            <w:tcW w:type="dxa" w:w="680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306</w:t>
            </w:r>
          </w:p>
        </w:tc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3.06%</w:t>
            </w:r>
          </w:p>
        </w:tc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93.72 ± 0.66</w:t>
            </w:r>
          </w:p>
        </w:tc>
        <w:tc>
          <w:tcPr>
            <w:tcW w:type="dxa" w:w="221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17.84 ± 7.39</w:t>
            </w:r>
          </w:p>
        </w:tc>
        <w:tc>
          <w:tcPr>
            <w:tcW w:type="dxa" w:w="215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77.64 ± 7.34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50.00%</w:t>
            </w:r>
          </w:p>
        </w:tc>
        <w:tc>
          <w:tcPr>
            <w:tcW w:type="dxa" w:w="680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511</w:t>
            </w:r>
          </w:p>
        </w:tc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5.11%</w:t>
            </w:r>
          </w:p>
        </w:tc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90.28 ± 1.53</w:t>
            </w:r>
          </w:p>
        </w:tc>
        <w:tc>
          <w:tcPr>
            <w:tcW w:type="dxa" w:w="221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51.88 ± 16.17</w:t>
            </w:r>
          </w:p>
        </w:tc>
        <w:tc>
          <w:tcPr>
            <w:tcW w:type="dxa" w:w="215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43.47 ± 15.83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70.00%</w:t>
            </w:r>
          </w:p>
        </w:tc>
        <w:tc>
          <w:tcPr>
            <w:tcW w:type="dxa" w:w="680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715</w:t>
            </w:r>
          </w:p>
        </w:tc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7.15%</w:t>
            </w:r>
          </w:p>
        </w:tc>
        <w:tc>
          <w:tcPr>
            <w:tcW w:type="dxa" w:w="204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87.48 ± 1.13</w:t>
            </w:r>
          </w:p>
        </w:tc>
        <w:tc>
          <w:tcPr>
            <w:tcW w:type="dxa" w:w="221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79.58 ± 11.15</w:t>
            </w:r>
          </w:p>
        </w:tc>
        <w:tc>
          <w:tcPr>
            <w:tcW w:type="dxa" w:w="215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16.12 ± 11.05</w:t>
            </w:r>
          </w:p>
        </w:tc>
      </w:tr>
    </w:tbl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765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rget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76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ind w:firstLine="0"/>
        <w:jc w:val="center"/>
      </w:pPr>
      <w:r>
        <w:t>图6 目标投毒的局部损害与整体指标 横轴以数字3训练类为分母</w:t>
      </w:r>
    </w:p>
    <w:p>
      <w:pPr>
        <w:ind w:firstLine="369"/>
      </w:pPr>
      <w:r>
        <w:rPr>
          <w:b w:val="0"/>
        </w:rPr>
        <w:t>当源类污染率提高到50%时，平均ASR为51.88%，标准差达16.17个百分点；70%时平均ASR为79.58%。源类召回率同时降至16.12%，而非源类准确率仍为95.50%。这说明错误主要集中于数字3，整体准确率87.48%会低估局部破坏程度。</w:t>
      </w:r>
    </w:p>
    <w:p>
      <w:pPr>
        <w:ind w:firstLine="369"/>
      </w:pPr>
      <w:r>
        <w:rPr>
          <w:b w:val="0"/>
        </w:rPr>
        <w:t>70%配置相对同种子干净模型的ASR平均增加78.38个百分点；仅在基线原本正确的数字3上计算，转为8的条件比例为81.32%。这两项补充统计都支持错误并非仅由原有混淆造成。</w:t>
      </w:r>
    </w:p>
    <w:p>
      <w:pPr>
        <w:ind w:firstLine="369"/>
      </w:pPr>
      <w:r>
        <w:rPr>
          <w:b w:val="0"/>
        </w:rPr>
        <w:t>相近预算观察中，700个随机错误标签使整体准确率降至94.71%；715个集中错误标签则造成上述严重源类误判。二者预算相差15个样本，且优化目标不同，只能说明污染方向与集中程度值得关注，不能直接认定某类攻击的效率高出多少倍。</w:t>
      </w:r>
    </w:p>
    <w:p>
      <w:pPr>
        <w:pStyle w:val="3"/>
        <w:pageBreakBefore/>
        <w:ind w:firstLine="0"/>
      </w:pPr>
      <w:r>
        <w:t>十 目标错误的逐类与逐样本核查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24000" cy="35128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fus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3512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ind w:firstLine="0"/>
        <w:jc w:val="center"/>
      </w:pPr>
      <w:r>
        <w:t>图7 目标投毒70%的一次完整混淆矩阵 seed=17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1417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rPr>
          <w:cantSplit/>
          <w:tblHeader/>
        </w:trPr>
        <w:tc>
          <w:tcPr>
            <w:tcW w:type="dxa" w:w="1417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预测为</w:t>
            </w:r>
          </w:p>
        </w:tc>
        <w:tc>
          <w:tcPr>
            <w:tcW w:type="dxa" w:w="7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7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7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7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7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7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7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7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7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7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真实数字3</w:t>
            </w:r>
          </w:p>
        </w:tc>
        <w:tc>
          <w:tcPr>
            <w:tcW w:type="dxa" w:w="7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7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7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902</w:t>
            </w:r>
          </w:p>
        </w:tc>
        <w:tc>
          <w:tcPr>
            <w:tcW w:type="dxa" w:w="7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13</w:t>
            </w:r>
          </w:p>
        </w:tc>
      </w:tr>
    </w:tbl>
    <w:p>
      <w:pPr>
        <w:ind w:firstLine="369"/>
      </w:pPr>
      <w:r>
        <w:rPr>
          <w:b w:val="0"/>
        </w:rPr>
        <w:t>该次1010个数字3中，902个被判为8，68个仍判为3，ASR=902/1010=89.31%。该数值属于单次seed=17；5次平均为79.58%，不能把二者混写。其他去向仍有少量样本，因此ASR与召回率不是简单互补。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12338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ediction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23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ind w:firstLine="0"/>
        <w:jc w:val="center"/>
      </w:pPr>
      <w:r>
        <w:t>图8 官方测试集中前6个数字3的固定顺序示例 未按攻击成败挑选</w:t>
      </w:r>
    </w:p>
    <w:p>
      <w:pPr>
        <w:ind w:firstLine="369"/>
      </w:pPr>
      <w:r>
        <w:rPr>
          <w:b w:val="0"/>
        </w:rPr>
        <w:t>示例保留真实测试索引、干净基线预测和投毒模型预测。它们用于核查“输入没变，训练污染改变了预测”的具体表现；统计结论仍以全部1010个源类样本为准。</w:t>
      </w:r>
    </w:p>
    <w:p>
      <w:pPr>
        <w:pStyle w:val="3"/>
        <w:pageBreakBefore/>
        <w:ind w:firstLine="0"/>
      </w:pPr>
      <w:r>
        <w:t>十一 训练过程与随机性分析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755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isto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7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ind w:firstLine="0"/>
        <w:jc w:val="center"/>
      </w:pPr>
      <w:r>
        <w:t>图9 固定seed=17的训练损失与独立验证集ASR 未使用测试集选轮数</w:t>
      </w:r>
    </w:p>
    <w:p>
      <w:pPr>
        <w:pStyle w:val="4"/>
        <w:ind w:firstLine="0"/>
      </w:pPr>
      <w:r>
        <w:t>11.1 拟合损失下降不等于安全性改善</w:t>
      </w:r>
    </w:p>
    <w:p>
      <w:pPr>
        <w:ind w:firstLine="369"/>
      </w:pPr>
      <w:r>
        <w:rPr>
          <w:b w:val="0"/>
        </w:rPr>
        <w:t>目标50%配置中，训练损失随轮数总体下降，但独立验证集的3→8错误并未同步减少。原因在于训练目标包含被污染的“正确答案”，优化器降低的是对当前训练标签的损失；它可能越来越好地拟合攻击者注入的错误关系。干净与污染损失对应不同监督内容，不能仅比较谁的损失更低就判断谁更安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1134"/>
        <w:gridCol w:w="2551"/>
        <w:gridCol w:w="2835"/>
        <w:gridCol w:w="2835"/>
      </w:tblGrid>
      <w:tr>
        <w:trPr>
          <w:cantSplit/>
          <w:tblHeader/>
        </w:trPr>
        <w:tc>
          <w:tcPr>
            <w:tcW w:type="dxa" w:w="113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轮数</w:t>
            </w:r>
          </w:p>
        </w:tc>
        <w:tc>
          <w:tcPr>
            <w:tcW w:type="dxa" w:w="2551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污染训练损失</w:t>
            </w:r>
          </w:p>
        </w:tc>
        <w:tc>
          <w:tcPr>
            <w:tcW w:type="dxa" w:w="2835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验证集准确率</w:t>
            </w:r>
          </w:p>
        </w:tc>
        <w:tc>
          <w:tcPr>
            <w:tcW w:type="dxa" w:w="2835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验证集3→8 ASR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1.5358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77.00%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61.27%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0.2870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87.45%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46.08%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0.2045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87.85%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59.31%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0.1280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88.35%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64.22%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55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0.0864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88.65%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64.22%</w:t>
            </w:r>
          </w:p>
        </w:tc>
      </w:tr>
    </w:tbl>
    <w:p>
      <w:pPr>
        <w:pStyle w:val="4"/>
        <w:ind w:firstLine="0"/>
      </w:pPr>
      <w:r>
        <w:t>11.2 中间预算更容易出现决策波动</w:t>
      </w:r>
    </w:p>
    <w:p>
      <w:pPr>
        <w:ind w:firstLine="369"/>
      </w:pPr>
      <w:r>
        <w:rPr>
          <w:b w:val="0"/>
        </w:rPr>
        <w:t>目标50%配置的ASR标准差为16.17个百分点，明显高于干净基线0.59个百分点。源类中正确与错误监督数量接近时，不同投毒位置和随机优化轨迹可能使决策边界偏向不同方向。本结果与这种解释相符，但没有将投毒位置和初始化分别固定，不能断言其中某一个因素独自造成全部波动。</w:t>
      </w:r>
    </w:p>
    <w:p>
      <w:pPr>
        <w:ind w:firstLine="369"/>
      </w:pPr>
      <w:r>
        <w:rPr>
          <w:b w:val="0"/>
        </w:rPr>
        <w:t>实验固定60轮，图中只展示过程，未根据较高ASR提前终止，也未选择“攻击最成功”的种子作为汇总。这可以避免人为高估攻击效果。训练轮数曲线来自验证集与单个种子，属于过程证据，尚不足以得出所有轮数或模型的因果规律。</w:t>
      </w:r>
    </w:p>
    <w:p>
      <w:pPr>
        <w:pStyle w:val="3"/>
        <w:pageBreakBefore/>
        <w:ind w:firstLine="0"/>
      </w:pPr>
      <w:r>
        <w:t>十二 模型与类别组合的因素对照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47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acto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ind w:firstLine="0"/>
        <w:jc w:val="center"/>
      </w:pPr>
      <w:r>
        <w:t>图10 类内50%投毒下的类别与模型对照 误差线为5次样本标准差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2494"/>
        <w:gridCol w:w="1134"/>
        <w:gridCol w:w="2835"/>
        <w:gridCol w:w="2891"/>
      </w:tblGrid>
      <w:tr>
        <w:trPr>
          <w:cantSplit/>
          <w:tblHeader/>
        </w:trPr>
        <w:tc>
          <w:tcPr>
            <w:tcW w:type="dxa" w:w="249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1134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改标数</w:t>
            </w:r>
          </w:p>
        </w:tc>
        <w:tc>
          <w:tcPr>
            <w:tcW w:type="dxa" w:w="2835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整体准确率 %</w:t>
            </w:r>
          </w:p>
        </w:tc>
        <w:tc>
          <w:tcPr>
            <w:tcW w:type="dxa" w:w="2891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目标ASR %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MLP 3→8</w:t>
            </w:r>
          </w:p>
        </w:tc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511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90.28 ± 1.53</w:t>
            </w:r>
          </w:p>
        </w:tc>
        <w:tc>
          <w:tcPr>
            <w:tcW w:type="dxa" w:w="289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51.88 ± 16.17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MLP 0→1</w:t>
            </w:r>
          </w:p>
        </w:tc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493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90.98 ± 0.81</w:t>
            </w:r>
          </w:p>
        </w:tc>
        <w:tc>
          <w:tcPr>
            <w:tcW w:type="dxa" w:w="289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46.69 ± 8.90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逻辑回归 3→8</w:t>
            </w:r>
          </w:p>
        </w:tc>
        <w:tc>
          <w:tcPr>
            <w:tcW w:type="dxa" w:w="1134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511</w:t>
            </w:r>
          </w:p>
        </w:tc>
        <w:tc>
          <w:tcPr>
            <w:tcW w:type="dxa" w:w="2835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86.91 ± 0.29</w:t>
            </w:r>
          </w:p>
        </w:tc>
        <w:tc>
          <w:tcPr>
            <w:tcW w:type="dxa" w:w="2891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45.64 ± 2.69</w:t>
            </w:r>
          </w:p>
        </w:tc>
      </w:tr>
    </w:tbl>
    <w:p>
      <w:pPr>
        <w:pStyle w:val="4"/>
        <w:ind w:firstLine="0"/>
      </w:pPr>
      <w:r>
        <w:t>12.1 类别组合影响观察到的结果</w:t>
      </w:r>
    </w:p>
    <w:p>
      <w:pPr>
        <w:ind w:firstLine="369"/>
      </w:pPr>
      <w:r>
        <w:rPr>
          <w:b w:val="0"/>
        </w:rPr>
        <w:t>在相同MLP和50%类内污染率下，3→8的ASR为51.88 ± 16.17% ，0→1为46.69 ± 8.90% 。二者的随机波动较大，不能据此确定哪一组永远更易受攻击。数字0和3的训练基数不同，实际改标493和511个，因此该实验比较的是相同类内比例，不是严格相同样本预算。</w:t>
      </w:r>
    </w:p>
    <w:p>
      <w:pPr>
        <w:ind w:firstLine="369"/>
      </w:pPr>
      <w:r>
        <w:rPr>
          <w:b w:val="0"/>
        </w:rPr>
        <w:t>类别间形态、样本多样性、天然混淆和源类正确标注规模都可能参与影响。当前只比较两个组合，没有单独测量形态相似度，不能把两组均值差全部归因于“3与8看起来更像”。</w:t>
      </w:r>
    </w:p>
    <w:p>
      <w:pPr>
        <w:pStyle w:val="4"/>
        <w:ind w:firstLine="0"/>
      </w:pPr>
      <w:r>
        <w:t>12.2 模型决定拟合噪声的方式</w:t>
      </w:r>
    </w:p>
    <w:p>
      <w:pPr>
        <w:ind w:firstLine="369"/>
      </w:pPr>
      <w:r>
        <w:rPr>
          <w:b w:val="0"/>
        </w:rPr>
        <w:t>逻辑回归干净准确率为91.53%，50%目标污染后为86.91%，ASR为45.64%。MLP具有非线性隐层，干净识别能力更高，但目标污染下依然会明显偏移。不能只比较污染后的绝对准确率来判断抗性，应结合各自基线、ASR及波动。</w:t>
      </w:r>
    </w:p>
    <w:p>
      <w:pPr>
        <w:ind w:firstLine="369"/>
      </w:pPr>
      <w:r>
        <w:rPr>
          <w:b w:val="0"/>
        </w:rPr>
        <w:t>两类模型的容量、优化方法和正则化参数化同时不同，本对照支持“模型选择会改变结果”的局部观察，不是对模型容量或正则化强度的单因素因果证明。正则化强度、数据规模等因素仍需额外网格或消融实验验证。</w:t>
      </w:r>
    </w:p>
    <w:p>
      <w:pPr>
        <w:pStyle w:val="3"/>
        <w:pageBreakBefore/>
        <w:ind w:firstLine="0"/>
      </w:pPr>
      <w:r>
        <w:t>十三 影响因素与数据治理建议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因素</w:t>
            </w:r>
          </w:p>
        </w:tc>
        <w:tc>
          <w:tcPr>
            <w:tcW w:type="dxa" w:w="7087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本次证据与结论边界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污染预算和实际分母</w:t>
            </w:r>
          </w:p>
        </w:tc>
        <w:tc>
          <w:tcPr>
            <w:tcW w:type="dxa" w:w="708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主实验实测：任意预算增大时整体损害加重，目标类内预算提高时ASR总体上升；比例必须换算成实际样本数。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错误监督方向</w:t>
            </w:r>
          </w:p>
        </w:tc>
        <w:tc>
          <w:tcPr>
            <w:tcW w:type="dxa" w:w="708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随机改标形成分散错误，3→8改标集中伤害源类；二者追求的攻击目标不同，不能只用一个指标排名。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随机采样与训练轨迹</w:t>
            </w:r>
          </w:p>
        </w:tc>
        <w:tc>
          <w:tcPr>
            <w:tcW w:type="dxa" w:w="708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5次重复揭示目标50%组的大幅波动；本协议未把采样与初始化影响完全拆开。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模型和类别组合</w:t>
            </w:r>
          </w:p>
        </w:tc>
        <w:tc>
          <w:tcPr>
            <w:tcW w:type="dxa" w:w="708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已做局部对照；样本数、容量与优化方式存在共同变化，不宜作普遍强弱排序。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数据量 类别不均衡 正则化</w:t>
            </w:r>
          </w:p>
        </w:tc>
        <w:tc>
          <w:tcPr>
            <w:tcW w:type="dxa" w:w="7087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理论上会改变干净监督的约束和噪声拟合，但本次没有单独改变这些因素。</w:t>
            </w:r>
          </w:p>
        </w:tc>
      </w:tr>
    </w:tbl>
    <w:p>
      <w:pPr>
        <w:pStyle w:val="4"/>
        <w:ind w:firstLine="0"/>
      </w:pPr>
      <w:r>
        <w:t>13.1 以数据完整性为中心的处置</w:t>
      </w:r>
    </w:p>
    <w:p>
      <w:pPr>
        <w:ind w:firstLine="369"/>
      </w:pPr>
      <w:r>
        <w:rPr>
          <w:b w:val="0"/>
        </w:rPr>
        <w:t>数据接收阶段应记录来源、数据版本、标注者和修改历史，对异常标签迁移比例及集中源类错误设置复核规则。本实验的目标攻击集中把3迁为8，提示审核不能只看总体错误率，也应检查“原标签→新标签”的方向和类别内部占比。</w:t>
      </w:r>
    </w:p>
    <w:p>
      <w:pPr>
        <w:ind w:firstLine="369"/>
      </w:pPr>
      <w:r>
        <w:rPr>
          <w:b w:val="0"/>
        </w:rPr>
        <w:t>训练阶段保存不可变数据快照、固定划分和输入哈希，建立来源可信的独立验证集。哈希只能证明文件是否变化，不能识别一个从一开始就被错误标注的数据集；异常标签仍需抽检、来源核验或独立复标。</w:t>
      </w:r>
    </w:p>
    <w:p>
      <w:pPr>
        <w:ind w:firstLine="369"/>
      </w:pPr>
      <w:r>
        <w:rPr>
          <w:b w:val="0"/>
        </w:rPr>
        <w:t>模型验收同时检查整体准确率、每类召回、定向误判矩阵。若发现异常，应定位受影响数据版本，隔离来源并进行独立复标；从可信数据重训后，重新检查正常性能和目标误判。</w:t>
      </w:r>
    </w:p>
    <w:p>
      <w:pPr>
        <w:pStyle w:val="4"/>
        <w:ind w:firstLine="0"/>
      </w:pPr>
      <w:r>
        <w:t>13.2 建议与已验证防御的区别</w:t>
      </w:r>
    </w:p>
    <w:p>
      <w:pPr>
        <w:ind w:firstLine="369"/>
      </w:pPr>
      <w:r>
        <w:rPr>
          <w:b w:val="0"/>
        </w:rPr>
        <w:t>以上是由实验现象推导的数据治理建议。本次没有实现标签清洗、异常检测、鲁棒训练或防御重训实验，因此不报告防御成功率，也不保证某项建议可独立消除投毒。对于真实场景，还应覆盖更多数据规模、多个划分与业务代价。</w:t>
      </w:r>
    </w:p>
    <w:p>
      <w:pPr>
        <w:pStyle w:val="3"/>
        <w:pageBreakBefore/>
        <w:ind w:firstLine="0"/>
      </w:pPr>
      <w:r>
        <w:t>十四 复现步骤与结果核验</w:t>
      </w:r>
    </w:p>
    <w:p>
      <w:pPr>
        <w:pStyle w:val="4"/>
        <w:ind w:firstLine="0"/>
      </w:pPr>
      <w:r>
        <w:t>14.1 在实验目录运行</w:t>
      </w:r>
    </w:p>
    <w:p>
      <w:pPr>
        <w:ind w:firstLine="369"/>
      </w:pPr>
      <w:r>
        <w:rPr>
          <w:b w:val="0"/>
        </w:rPr>
        <w:t>正式实验源代码位于poisoning_lab，依赖版本固定在requirements.txt。进入该目录后执行以下命令；默认读取同级课程项目中已存在的MNIST原始文件。整个实验不需要PyTorch，也不需要联网拉取数据。</w:t>
      </w:r>
    </w:p>
    <w:p>
      <w:pPr>
        <w:pStyle w:val="LabCode"/>
        <w:keepNext/>
        <w:ind w:firstLine="0"/>
        <w:shd w:fill="F3F4F5"/>
      </w:pPr>
      <w:r>
        <w:t>python -m pip install -r requirements.txt</w:t>
      </w:r>
    </w:p>
    <w:p>
      <w:pPr>
        <w:pStyle w:val="LabCode"/>
        <w:keepNext/>
        <w:ind w:firstLine="0"/>
        <w:shd w:fill="F3F4F5"/>
      </w:pPr>
      <w:r>
        <w:t>python experiment.py</w:t>
      </w:r>
    </w:p>
    <w:p>
      <w:pPr>
        <w:pStyle w:val="LabCode"/>
        <w:keepNext w:val="0"/>
        <w:ind w:firstLine="0"/>
        <w:shd w:fill="F3F4F5"/>
      </w:pPr>
      <w:r>
        <w:t>python analyze.py</w:t>
      </w:r>
    </w:p>
    <w:p>
      <w:pPr>
        <w:spacing w:after="0"/>
      </w:pPr>
    </w:p>
    <w:p>
      <w:pPr>
        <w:ind w:firstLine="369"/>
      </w:pPr>
      <w:r>
        <w:rPr>
          <w:b w:val="0"/>
        </w:rPr>
        <w:t>如数据位于其他目录，可在experiment.py后加--data-dir指定存放四个未压缩IDX文件的路径。程序依靠数据与源码指纹决定是否复用逐次记录；若要重新计算所有模型，先把旧results目录改名备份再运行。--smoke只用于短流程检查，其输出放在独立目录，不参与正式统计。</w:t>
      </w:r>
    </w:p>
    <w:p>
      <w:pPr>
        <w:pStyle w:val="4"/>
        <w:ind w:firstLine="0"/>
      </w:pPr>
      <w:r>
        <w:t>14.2 文件与检查点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8AFB5"/>
          <w:left w:val="single" w:sz="4" w:color="A8AFB5"/>
          <w:bottom w:val="single" w:sz="4" w:color="A8AFB5"/>
          <w:right w:val="single" w:sz="4" w:color="A8AFB5"/>
          <w:insideH w:val="single" w:sz="4" w:color="A8AFB5"/>
          <w:insideV w:val="single" w:sz="4" w:color="A8AFB5"/>
        </w:tblBorders>
      </w:tblPr>
      <w:tblGrid>
        <w:gridCol w:w="3458"/>
        <w:gridCol w:w="5896"/>
      </w:tblGrid>
      <w:tr>
        <w:trPr>
          <w:cantSplit/>
          <w:tblHeader/>
        </w:trPr>
        <w:tc>
          <w:tcPr>
            <w:tcW w:type="dxa" w:w="3458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文件或目录</w:t>
            </w:r>
          </w:p>
        </w:tc>
        <w:tc>
          <w:tcPr>
            <w:tcW w:type="dxa" w:w="5896"/>
            <w:shd w:fill="EFF1F3"/>
          </w:tcPr>
          <w:p>
            <w:pPr>
              <w:spacing w:before="60" w:after="60" w:line="264" w:lineRule="auto"/>
              <w:ind w:firstLine="0"/>
            </w:pPr>
            <w:r>
              <w:rPr>
                <w:b/>
                <w:sz w:val="18"/>
              </w:rPr>
              <w:t>可核查内容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experiment.py / analyze.py</w:t>
            </w:r>
          </w:p>
        </w:tc>
        <w:tc>
          <w:tcPr>
            <w:tcW w:type="dxa" w:w="5896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完整攻击构造、训练、评估与统计过程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results/metadata.json</w:t>
            </w:r>
          </w:p>
        </w:tc>
        <w:tc>
          <w:tcPr>
            <w:tcW w:type="dxa" w:w="5896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实际版本、时间、65次训练、划分和原始数据SHA256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results/execution.log</w:t>
            </w:r>
          </w:p>
        </w:tc>
        <w:tc>
          <w:tcPr>
            <w:tcW w:type="dxa" w:w="5896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每次配置、改标数、准确率、ASR、耗时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results/runs/*.json 与 *.npz</w:t>
            </w:r>
          </w:p>
        </w:tc>
        <w:tc>
          <w:tcPr>
            <w:tcW w:type="dxa" w:w="5896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逐次训练历史、完整测试预测、矩阵及污染索引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results/runs.csv / paired_runs.csv</w:t>
            </w:r>
          </w:p>
        </w:tc>
        <w:tc>
          <w:tcPr>
            <w:tcW w:type="dxa" w:w="5896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原始指标及同模型同种子基线差值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results/summary.csv / summary.json</w:t>
            </w:r>
          </w:p>
        </w:tc>
        <w:tc>
          <w:tcPr>
            <w:tcW w:type="dxa" w:w="5896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每配置5次均值和样本标准差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results/audit.json / figures</w:t>
            </w:r>
          </w:p>
        </w:tc>
        <w:tc>
          <w:tcPr>
            <w:tcW w:type="dxa" w:w="5896"/>
          </w:tcPr>
          <w:p>
            <w:pPr>
              <w:spacing w:before="60" w:after="60" w:line="264" w:lineRule="auto"/>
              <w:ind w:firstLine="0"/>
            </w:pPr>
            <w:r>
              <w:rPr>
                <w:b w:val="0"/>
                <w:sz w:val="18"/>
              </w:rPr>
              <w:t>完整性审计和11幅原始图表</w:t>
            </w:r>
          </w:p>
        </w:tc>
      </w:tr>
    </w:tbl>
    <w:p>
      <w:pPr>
        <w:ind w:firstLine="369"/>
      </w:pPr>
      <w:r>
        <w:rPr>
          <w:b w:val="0"/>
        </w:rPr>
        <w:t>审计已核对全部65次结果：原数据哈希未变；训练与验证索引不相交；实际改标数量与声明一致；目标样本确实只来自源类；保存的测试真值与原始官方真值一致；每次混淆矩阵总数为10000；ASR计数和分母吻合；每组均有5个种子。</w:t>
      </w:r>
    </w:p>
    <w:p>
      <w:pPr>
        <w:pStyle w:val="4"/>
        <w:ind w:firstLine="0"/>
      </w:pPr>
      <w:r>
        <w:t>14.3 实际运行日志节选</w:t>
      </w:r>
    </w:p>
    <w:p>
      <w:pPr>
        <w:pStyle w:val="LabCode"/>
        <w:keepNext/>
        <w:ind w:firstLine="0"/>
        <w:shd w:fill="F3F4F5"/>
      </w:pPr>
      <w:r>
        <w:t>[1/65] mlp_indiscriminate_3to8_0_s17_e60 n=0 acc=95.7200% ASR=0.4950% time=3.0s</w:t>
      </w:r>
    </w:p>
    <w:p>
      <w:pPr>
        <w:pStyle w:val="LabCode"/>
        <w:keepNext/>
        <w:ind w:firstLine="0"/>
        <w:shd w:fill="F3F4F5"/>
      </w:pPr>
      <w:r>
        <w:t>[10/65] mlp_targeted_3to8_0.7_s17_e60 n=715 acc=86.4300% ASR=89.3069% time=3.0s</w:t>
      </w:r>
    </w:p>
    <w:p>
      <w:pPr>
        <w:pStyle w:val="LabCode"/>
        <w:keepNext w:val="0"/>
        <w:ind w:firstLine="0"/>
        <w:shd w:fill="F3F4F5"/>
      </w:pPr>
      <w:r>
        <w:t>COMPLETE 65 fitted models, elapsed=172.9s</w:t>
      </w:r>
    </w:p>
    <w:p>
      <w:pPr>
        <w:spacing w:after="0"/>
      </w:pPr>
    </w:p>
    <w:p>
      <w:pPr>
        <w:ind w:firstLine="369"/>
      </w:pPr>
      <w:r>
        <w:rPr>
          <w:b w:val="0"/>
        </w:rPr>
        <w:t>节选保留原始数值并为排版换行，完整日志随附。耗时是本机运行记录，不是其他设备的性能保证；汇总结果依赖所列软件版本，跨版本数值可能有小幅变化。</w:t>
      </w:r>
    </w:p>
    <w:p>
      <w:pPr>
        <w:pStyle w:val="3"/>
        <w:pageBreakBefore/>
        <w:ind w:firstLine="0"/>
      </w:pPr>
      <w:r>
        <w:t>十五 实验总结</w:t>
      </w:r>
    </w:p>
    <w:p>
      <w:pPr>
        <w:pStyle w:val="4"/>
        <w:ind w:firstLine="0"/>
      </w:pPr>
      <w:r>
        <w:t>15.1 对题目两项要求的回答</w:t>
      </w:r>
    </w:p>
    <w:p>
      <w:pPr>
        <w:ind w:firstLine="369"/>
      </w:pPr>
      <w:r>
        <w:rPr>
          <w:b w:val="0"/>
        </w:rPr>
        <w:t>设计思路方面，任意投毒在全训练集制造随机错误标签，追求整体可用性下降；目标投毒只把源类3改标为8，追求指定方向的误判。前者在60%预算下使准确率由95.63%降至78.66%；后者在全局7.15%预算下使目标ASR达到79.58%。两类攻击都只改变训练数据，最终在保留真实标签的独立测试集上确认后果。</w:t>
      </w:r>
    </w:p>
    <w:p>
      <w:pPr>
        <w:ind w:firstLine="369"/>
      </w:pPr>
      <w:r>
        <w:rPr>
          <w:b w:val="0"/>
        </w:rPr>
        <w:t>影响因素方面，投毒量、类内集中度、错误标签方向、随机采样与优化、模型、类别组合都会影响观察结果。最直接的实测证据来自预算曲线；其他对照须保留样本数量、模型参数共同变化以及随机波动的限制。数据量和正则化等未做单因素实验的内容仅作为待验证因素。</w:t>
      </w:r>
    </w:p>
    <w:p>
      <w:pPr>
        <w:ind w:firstLine="369"/>
      </w:pPr>
      <w:r>
        <w:rPr>
          <w:b w:val="0"/>
        </w:rPr>
        <w:t>对数据安全治理而言，总体准确率不足以发现所有完整性问题。目标投毒要求关注业务关键类别的定向错误。可追溯数据、独立评估集、逐类指标与可重复的记录共同构成实验和治理的基础。</w:t>
      </w:r>
    </w:p>
    <w:sectPr>
      <w:headerReference w:type="default" r:id="rId19"/>
      <w:footerReference w:type="default" r:id="rId20"/>
      <w:pgSz w:w="11906" w:h="16838"/>
      <w:pgMar w:top="1219" w:right="1276" w:bottom="1219" w:left="1276" w:header="624" w:footer="62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FW筑紫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5" w:lineRule="auto"/>
      </w:pPr>
      <w:r>
        <w:separator/>
      </w:r>
    </w:p>
  </w:footnote>
  <w:footnote w:type="continuationSeparator" w:id="1">
    <w:p>
      <w:pPr>
        <w:spacing w:before="0" w:after="0" w:line="295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9AFD10"/>
    <w:multiLevelType w:val="singleLevel"/>
    <w:tmpl w:val="A09AFD1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ED007A9C"/>
    <w:multiLevelType w:val="singleLevel"/>
    <w:tmpl w:val="ED007A9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54652097"/>
    <w:multiLevelType w:val="singleLevel"/>
    <w:tmpl w:val="5465209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3C069D"/>
    <w:rsid w:val="0F570191"/>
    <w:rsid w:val="24B4515E"/>
    <w:rsid w:val="25BD09C3"/>
    <w:rsid w:val="2AA12A4F"/>
    <w:rsid w:val="2DD7775C"/>
    <w:rsid w:val="37C130EE"/>
    <w:rsid w:val="4F266275"/>
    <w:rsid w:val="55D12344"/>
    <w:rsid w:val="763754EE"/>
    <w:rsid w:val="79F67715"/>
    <w:rsid w:val="7CB1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12" w:lineRule="auto" w:before="0"/>
    </w:pPr>
    <w:rPr>
      <w:rFonts w:ascii="Times New Roman" w:hAnsi="Times New Roman" w:eastAsia="宋体"/>
      <w:b w:val="0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widowControl/>
      <w:spacing w:before="160" w:after="120" w:line="312" w:lineRule="auto"/>
      <w:outlineLvl w:val="0"/>
    </w:pPr>
    <w:rPr>
      <w:rFonts w:ascii="Times New Roman" w:hAnsi="Times New Roman" w:eastAsia="宋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widowControl/>
      <w:spacing w:before="160" w:after="120" w:line="312" w:lineRule="auto"/>
      <w:outlineLvl w:val="1"/>
    </w:pPr>
    <w:rPr>
      <w:rFonts w:ascii="Times New Roman" w:hAnsi="Times New Roman" w:eastAsia="宋体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80" w:after="100"/>
      <w:outlineLvl w:val="2"/>
    </w:pPr>
    <w:rPr>
      <w:rFonts w:asciiTheme="majorHAnsi" w:hAnsiTheme="majorHAnsi" w:eastAsiaTheme="majorEastAsia" w:cstheme="majorBidi"/>
      <w:b/>
      <w:bCs/>
      <w:color w:val="1C4670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rbel" w:hAnsi="Corbel" w:eastAsia="方正FW筑紫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line="312" w:lineRule="auto" w:before="0" w:after="100"/>
    </w:pPr>
    <w:rPr>
      <w:rFonts w:ascii="Times New Roman" w:hAnsi="Times New Roman" w:eastAsia="宋体"/>
      <w:b w:val="0"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keepNext/>
      <w:widowControl/>
      <w:spacing w:before="0" w:after="100" w:line="312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rbel" w:hAnsi="Corbel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LabCode">
    <w:name w:val="Lab Code"/>
    <w:pPr>
      <w:widowControl/>
      <w:spacing w:before="0" w:after="20" w:line="259" w:lineRule="auto"/>
      <w:ind w:left="102" w:right="68"/>
    </w:pPr>
    <w:rPr>
      <w:rFonts w:ascii="Consolas" w:hAnsi="Consolas" w:eastAsia="等线"/>
      <w:b w:val="0"/>
      <w:color w:val="000000"/>
      <w:sz w:val="16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6" Type="http://schemas.openxmlformats.org/officeDocument/2006/relationships/numbering" Target="numbering.xml"/><Relationship Id="rId1" Type="http://schemas.openxmlformats.org/officeDocument/2006/relationships/styles" Target="styles.xml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2883</Words>
  <Characters>6517</Characters>
  <Lines>0</Lines>
  <Paragraphs>0</Paragraphs>
  <TotalTime>27</TotalTime>
  <ScaleCrop>false</ScaleCrop>
  <LinksUpToDate>false</LinksUpToDate>
  <CharactersWithSpaces>7202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cp:lastModifiedBy/>
  <dcterms:modified xsi:type="dcterms:W3CDTF">2026-10-10T15:00:09Z</dcterms:modified>
  <cp:revision>1</cp:revision>
  <dc:title>数据安全治理第二次作业 检测指标计算与投毒攻击实验</dc:title>
  <dc:subject>MNIST任意投毒与目标投毒实验</dc:subject>
</cp:coreProperties>
</file>