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404040"/>
          <w:sz w:val="96"/>
          <w:szCs w:val="96"/>
        </w:rPr>
      </w:pPr>
      <w:bookmarkStart w:colFirst="0" w:colLast="0" w:name="_gjdgxs" w:id="0"/>
      <w:bookmarkEnd w:id="0"/>
      <w:r w:rsidDel="00000000" w:rsidR="00000000" w:rsidRPr="00000000">
        <w:rPr>
          <w:b w:val="0"/>
          <w:color w:val="039be5"/>
          <w:sz w:val="72"/>
          <w:szCs w:val="72"/>
          <w:rtl w:val="0"/>
        </w:rPr>
        <w:t xml:space="preserve">User Manual for the</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Prototype</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3600" w:line="240" w:lineRule="auto"/>
        <w:contextualSpacing w:val="0"/>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0" name="image45.png"/>
            <a:graphic>
              <a:graphicData uri="http://schemas.openxmlformats.org/drawingml/2006/picture">
                <pic:pic>
                  <pic:nvPicPr>
                    <pic:cNvPr descr="short line" id="0" name="image4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color w:val="666666"/>
          <w:sz w:val="32"/>
          <w:szCs w:val="32"/>
        </w:rPr>
      </w:pPr>
      <w:r w:rsidDel="00000000" w:rsidR="00000000" w:rsidRPr="00000000">
        <w:rPr>
          <w:sz w:val="32"/>
          <w:szCs w:val="32"/>
          <w:rtl w:val="0"/>
        </w:rPr>
        <w:t xml:space="preserve">Huawei - USC</w:t>
        <w:br w:type="textWrapping"/>
      </w:r>
      <w:r w:rsidDel="00000000" w:rsidR="00000000" w:rsidRPr="00000000">
        <w:rPr>
          <w:color w:val="666666"/>
          <w:sz w:val="32"/>
          <w:szCs w:val="32"/>
          <w:rtl w:val="0"/>
        </w:rPr>
        <w:t xml:space="preserve">July, 2018</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30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300" w:lineRule="auto"/>
        <w:contextualSpacing w:val="0"/>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t xml:space="preserve">This document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t xml:space="preserve">1) suggests an operational workflow for demonstrating the prototype based on Architected Agile process and TR4 milestone.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200" w:line="300" w:lineRule="auto"/>
        <w:contextualSpacing w:val="0"/>
        <w:rPr/>
      </w:pPr>
      <w:r w:rsidDel="00000000" w:rsidR="00000000" w:rsidRPr="00000000">
        <w:rPr>
          <w:rtl w:val="0"/>
        </w:rPr>
        <w:t xml:space="preserve">2) gives a demo of the Risk Prediction API and it query format.</w:t>
      </w:r>
    </w:p>
    <w:p w:rsidR="00000000" w:rsidDel="00000000" w:rsidP="00000000" w:rsidRDefault="00000000" w:rsidRPr="00000000" w14:paraId="00000009">
      <w:pPr>
        <w:contextualSpacing w:val="0"/>
        <w:rPr>
          <w:rFonts w:ascii="Proxima Nova" w:cs="Proxima Nova" w:eastAsia="Proxima Nova" w:hAnsi="Proxima Nova"/>
          <w:color w:val="039be5"/>
          <w:sz w:val="36"/>
          <w:szCs w:val="36"/>
        </w:rPr>
      </w:pPr>
      <w:r w:rsidDel="00000000" w:rsidR="00000000" w:rsidRPr="00000000">
        <w:rPr>
          <w:rtl w:val="0"/>
        </w:rPr>
        <w:t xml:space="preserve">This prototype makes supplement to the slides and shows how the risk prediction model connects to the expert system, such that it can redirect to different activities based on the level of runtime risks.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before="480" w:line="300" w:lineRule="auto"/>
        <w:contextualSpacing w:val="0"/>
        <w:rPr>
          <w:rFonts w:ascii="Proxima Nova" w:cs="Proxima Nova" w:eastAsia="Proxima Nova" w:hAnsi="Proxima Nova"/>
          <w:color w:val="039be5"/>
          <w:sz w:val="36"/>
          <w:szCs w:val="36"/>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Go to the</w:t>
      </w:r>
      <w:r w:rsidDel="00000000" w:rsidR="00000000" w:rsidRPr="00000000">
        <w:rPr>
          <w:color w:val="666666"/>
          <w:rtl w:val="0"/>
        </w:rPr>
        <w:t xml:space="preserve"> </w:t>
      </w:r>
      <w:hyperlink r:id="rId7">
        <w:r w:rsidDel="00000000" w:rsidR="00000000" w:rsidRPr="00000000">
          <w:rPr>
            <w:color w:val="1155cc"/>
            <w:u w:val="single"/>
            <w:rtl w:val="0"/>
          </w:rPr>
          <w:t xml:space="preserve">Factor Input Page</w:t>
        </w:r>
      </w:hyperlink>
      <w:r w:rsidDel="00000000" w:rsidR="00000000" w:rsidRPr="00000000">
        <w:rPr>
          <w:color w:val="666666"/>
          <w:rtl w:val="0"/>
        </w:rPr>
        <w:t xml:space="preserve"> </w:t>
      </w:r>
      <w:r w:rsidDel="00000000" w:rsidR="00000000" w:rsidRPr="00000000">
        <w:rPr>
          <w:rtl w:val="0"/>
        </w:rPr>
        <w:t xml:space="preserve">or hit the following link, </w:t>
      </w:r>
    </w:p>
    <w:p w:rsidR="00000000" w:rsidDel="00000000" w:rsidP="00000000" w:rsidRDefault="00000000" w:rsidRPr="00000000" w14:paraId="0000000D">
      <w:pPr>
        <w:contextualSpacing w:val="0"/>
        <w:rPr/>
      </w:pPr>
      <w:r w:rsidDel="00000000" w:rsidR="00000000" w:rsidRPr="00000000">
        <w:rPr>
          <w:rtl w:val="0"/>
        </w:rPr>
        <w:t xml:space="preserve">http://ec2-54-67-99-52.us-west-1.compute.amazonaws.com:8686/demo/phase5/start/factorsInputPage.html</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ksdd2gor4ozz" w:id="3"/>
      <w:bookmarkEnd w:id="3"/>
      <w:r w:rsidDel="00000000" w:rsidR="00000000" w:rsidRPr="00000000">
        <w:rPr>
          <w:rtl w:val="0"/>
        </w:rPr>
        <w:t xml:space="preserve">Step 1</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b w:val="1"/>
          <w:rtl w:val="0"/>
        </w:rPr>
        <w:t xml:space="preserve">Select a Product Type</w:t>
      </w:r>
      <w:r w:rsidDel="00000000" w:rsidR="00000000" w:rsidRPr="00000000">
        <w:rPr>
          <w:rtl w:val="0"/>
        </w:rPr>
        <w:t xml:space="preserve"> and </w:t>
      </w:r>
      <w:r w:rsidDel="00000000" w:rsidR="00000000" w:rsidRPr="00000000">
        <w:rPr>
          <w:b w:val="1"/>
          <w:rtl w:val="0"/>
        </w:rPr>
        <w:t xml:space="preserve">adjust the value for each factor</w:t>
      </w:r>
      <w:r w:rsidDel="00000000" w:rsidR="00000000" w:rsidRPr="00000000">
        <w:rPr>
          <w:rtl w:val="0"/>
        </w:rPr>
        <w:t xml:space="preserve">. </w:t>
      </w:r>
      <w:r w:rsidDel="00000000" w:rsidR="00000000" w:rsidRPr="00000000">
        <w:rPr>
          <w:color w:val="666666"/>
        </w:rPr>
        <w:drawing>
          <wp:inline distB="114300" distT="114300" distL="114300" distR="114300">
            <wp:extent cx="5943600" cy="2768600"/>
            <wp:effectExtent b="0" l="0" r="0" t="0"/>
            <wp:docPr id="21"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color w:val="666666"/>
          <w:rtl w:val="0"/>
        </w:rPr>
        <w:t xml:space="preserve">For example, we can set “Software Complexity” to “Extra High”, set “Hardware Complexity” to “Extra High”, set “Application Experience” to “Very low” and get the values as following.</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color w:val="666666"/>
        </w:rPr>
        <w:drawing>
          <wp:inline distB="114300" distT="114300" distL="114300" distR="114300">
            <wp:extent cx="5943600" cy="1447800"/>
            <wp:effectExtent b="0" l="0" r="0" t="0"/>
            <wp:docPr id="24"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color w:val="666666"/>
          <w:rtl w:val="0"/>
        </w:rPr>
        <w:t xml:space="preserve">More detail of the current active factor will be shown on the top of this interface to help the user to make decision.</w:t>
      </w:r>
    </w:p>
    <w:p w:rsidR="00000000" w:rsidDel="00000000" w:rsidP="00000000" w:rsidRDefault="00000000" w:rsidRPr="00000000" w14:paraId="00000013">
      <w:pPr>
        <w:pStyle w:val="Heading1"/>
        <w:contextualSpacing w:val="0"/>
        <w:rPr/>
      </w:pPr>
      <w:bookmarkStart w:colFirst="0" w:colLast="0" w:name="_tyjcwt" w:id="4"/>
      <w:bookmarkEnd w:id="4"/>
      <w:r w:rsidDel="00000000" w:rsidR="00000000" w:rsidRPr="00000000">
        <w:rPr>
          <w:rtl w:val="0"/>
        </w:rPr>
        <w:t xml:space="preserve">Step 2</w:t>
      </w:r>
    </w:p>
    <w:p w:rsidR="00000000" w:rsidDel="00000000" w:rsidP="00000000" w:rsidRDefault="00000000" w:rsidRPr="00000000" w14:paraId="00000014">
      <w:pPr>
        <w:contextualSpacing w:val="0"/>
        <w:rPr/>
      </w:pPr>
      <w:r w:rsidDel="00000000" w:rsidR="00000000" w:rsidRPr="00000000">
        <w:rPr>
          <w:b w:val="1"/>
          <w:rtl w:val="0"/>
        </w:rPr>
        <w:t xml:space="preserve">Click “Next”</w:t>
      </w:r>
      <w:r w:rsidDel="00000000" w:rsidR="00000000" w:rsidRPr="00000000">
        <w:rPr>
          <w:rtl w:val="0"/>
        </w:rPr>
        <w:t xml:space="preserve">  to set the project size. We can leave it as default value in this demo.</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5943600" cy="12065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b w:val="1"/>
          <w:rtl w:val="0"/>
        </w:rPr>
        <w:t xml:space="preserve">Click “Estimate”</w:t>
      </w:r>
      <w:r w:rsidDel="00000000" w:rsidR="00000000" w:rsidRPr="00000000">
        <w:rPr>
          <w:rtl w:val="0"/>
        </w:rPr>
        <w:t xml:space="preserve"> to get the cost estimation result from COCOMO</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5943600" cy="1663700"/>
            <wp:effectExtent b="0" l="0" r="0" t="0"/>
            <wp:docPr id="19"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contextualSpacing w:val="0"/>
        <w:rPr/>
      </w:pPr>
      <w:bookmarkStart w:colFirst="0" w:colLast="0" w:name="_62a5pi7bdd9n" w:id="5"/>
      <w:bookmarkEnd w:id="5"/>
      <w:r w:rsidDel="00000000" w:rsidR="00000000" w:rsidRPr="00000000">
        <w:rPr>
          <w:rtl w:val="0"/>
        </w:rPr>
        <w:t xml:space="preserve">Step 3</w:t>
      </w:r>
    </w:p>
    <w:p w:rsidR="00000000" w:rsidDel="00000000" w:rsidP="00000000" w:rsidRDefault="00000000" w:rsidRPr="00000000" w14:paraId="00000019">
      <w:pPr>
        <w:contextualSpacing w:val="0"/>
        <w:rPr/>
      </w:pPr>
      <w:r w:rsidDel="00000000" w:rsidR="00000000" w:rsidRPr="00000000">
        <w:rPr>
          <w:b w:val="1"/>
          <w:rtl w:val="0"/>
        </w:rPr>
        <w:t xml:space="preserve">Click “Start” to the KPI Evidence Dashboard</w:t>
      </w:r>
      <w:r w:rsidDel="00000000" w:rsidR="00000000" w:rsidRPr="00000000">
        <w:rPr>
          <w:rtl w:val="0"/>
        </w:rPr>
        <w:t xml:space="preserve">. In this demo connected to “TR4”, under “Verification” Phase, click the </w:t>
      </w:r>
      <w:r w:rsidDel="00000000" w:rsidR="00000000" w:rsidRPr="00000000">
        <w:rPr>
          <w:b w:val="1"/>
          <w:rtl w:val="0"/>
        </w:rPr>
        <w:t xml:space="preserve">button with a “calculation” icon</w:t>
      </w:r>
      <w:r w:rsidDel="00000000" w:rsidR="00000000" w:rsidRPr="00000000">
        <w:rPr>
          <w:rtl w:val="0"/>
        </w:rPr>
        <w:t xml:space="preserve"> for each KPI item, the system queries the current KPI status from DNA server (based upon OrientDB)</w:t>
      </w:r>
    </w:p>
    <w:p w:rsidR="00000000" w:rsidDel="00000000" w:rsidP="00000000" w:rsidRDefault="00000000" w:rsidRPr="00000000" w14:paraId="0000001A">
      <w:pPr>
        <w:contextualSpacing w:val="0"/>
        <w:jc w:val="center"/>
        <w:rPr/>
      </w:pPr>
      <w:r w:rsidDel="00000000" w:rsidR="00000000" w:rsidRPr="00000000">
        <w:rPr/>
        <w:drawing>
          <wp:inline distB="114300" distT="114300" distL="114300" distR="114300">
            <wp:extent cx="3714750" cy="2000250"/>
            <wp:effectExtent b="0" l="0" r="0" t="0"/>
            <wp:docPr id="31"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3714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contextualSpacing w:val="0"/>
        <w:rPr/>
      </w:pPr>
      <w:bookmarkStart w:colFirst="0" w:colLast="0" w:name="_1vnq6sz0u68f" w:id="6"/>
      <w:bookmarkEnd w:id="6"/>
      <w:r w:rsidDel="00000000" w:rsidR="00000000" w:rsidRPr="00000000">
        <w:rPr>
          <w:rtl w:val="0"/>
        </w:rPr>
        <w:t xml:space="preserve">Step 4</w:t>
      </w:r>
    </w:p>
    <w:p w:rsidR="00000000" w:rsidDel="00000000" w:rsidP="00000000" w:rsidRDefault="00000000" w:rsidRPr="00000000" w14:paraId="0000001C">
      <w:pPr>
        <w:contextualSpacing w:val="0"/>
        <w:rPr/>
      </w:pPr>
      <w:r w:rsidDel="00000000" w:rsidR="00000000" w:rsidRPr="00000000">
        <w:rPr>
          <w:b w:val="1"/>
          <w:rtl w:val="0"/>
        </w:rPr>
        <w:t xml:space="preserve">Click “Show Workflow”</w:t>
      </w:r>
      <w:r w:rsidDel="00000000" w:rsidR="00000000" w:rsidRPr="00000000">
        <w:rPr>
          <w:rtl w:val="0"/>
        </w:rPr>
        <w:t xml:space="preserve"> on the top of the page, we come to the “Project Management Dashboard” which list the current tasks for each role involved in a project.</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5943600" cy="2692400"/>
            <wp:effectExtent b="0" l="0" r="0" t="0"/>
            <wp:docPr id="29"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contextualSpacing w:val="0"/>
        <w:rPr/>
      </w:pPr>
      <w:bookmarkStart w:colFirst="0" w:colLast="0" w:name="_juzt5fqh1hj9" w:id="7"/>
      <w:bookmarkEnd w:id="7"/>
      <w:r w:rsidDel="00000000" w:rsidR="00000000" w:rsidRPr="00000000">
        <w:rPr>
          <w:rtl w:val="0"/>
        </w:rPr>
        <w:t xml:space="preserve">Step 5</w:t>
      </w:r>
    </w:p>
    <w:p w:rsidR="00000000" w:rsidDel="00000000" w:rsidP="00000000" w:rsidRDefault="00000000" w:rsidRPr="00000000" w14:paraId="0000001F">
      <w:pPr>
        <w:contextualSpacing w:val="0"/>
        <w:rPr/>
      </w:pPr>
      <w:r w:rsidDel="00000000" w:rsidR="00000000" w:rsidRPr="00000000">
        <w:rPr>
          <w:rtl w:val="0"/>
        </w:rPr>
        <w:t xml:space="preserve">Go ahead to</w:t>
      </w:r>
      <w:r w:rsidDel="00000000" w:rsidR="00000000" w:rsidRPr="00000000">
        <w:rPr>
          <w:b w:val="1"/>
          <w:rtl w:val="0"/>
        </w:rPr>
        <w:t xml:space="preserve"> “Complete” those tasks</w:t>
      </w:r>
      <w:r w:rsidDel="00000000" w:rsidR="00000000" w:rsidRPr="00000000">
        <w:rPr>
          <w:rtl w:val="0"/>
        </w:rPr>
        <w:t xml:space="preserve"> related to testing and come to the “</w:t>
      </w:r>
      <w:r w:rsidDel="00000000" w:rsidR="00000000" w:rsidRPr="00000000">
        <w:rPr>
          <w:b w:val="1"/>
          <w:rtl w:val="0"/>
        </w:rPr>
        <w:t xml:space="preserve">Transition Readiness Review</w:t>
      </w:r>
      <w:r w:rsidDel="00000000" w:rsidR="00000000" w:rsidRPr="00000000">
        <w:rPr>
          <w:rtl w:val="0"/>
        </w:rPr>
        <w:t xml:space="preserve">”, which is the anchor point of the process in this demo.</w:t>
      </w:r>
    </w:p>
    <w:p w:rsidR="00000000" w:rsidDel="00000000" w:rsidP="00000000" w:rsidRDefault="00000000" w:rsidRPr="00000000" w14:paraId="00000020">
      <w:pPr>
        <w:contextualSpacing w:val="0"/>
        <w:jc w:val="center"/>
        <w:rPr/>
      </w:pPr>
      <w:r w:rsidDel="00000000" w:rsidR="00000000" w:rsidRPr="00000000">
        <w:rPr/>
        <w:drawing>
          <wp:inline distB="114300" distT="114300" distL="114300" distR="114300">
            <wp:extent cx="2762250" cy="23622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62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b w:val="1"/>
          <w:rtl w:val="0"/>
        </w:rPr>
        <w:t xml:space="preserve">5. 1</w:t>
      </w:r>
      <w:r w:rsidDel="00000000" w:rsidR="00000000" w:rsidRPr="00000000">
        <w:rPr>
          <w:rtl w:val="0"/>
        </w:rPr>
        <w:t xml:space="preserve"> During this process, we can </w:t>
      </w:r>
      <w:r w:rsidDel="00000000" w:rsidR="00000000" w:rsidRPr="00000000">
        <w:rPr>
          <w:b w:val="1"/>
          <w:rtl w:val="0"/>
        </w:rPr>
        <w:t xml:space="preserve">click “Show BPMN” </w:t>
      </w:r>
      <w:r w:rsidDel="00000000" w:rsidR="00000000" w:rsidRPr="00000000">
        <w:rPr>
          <w:rtl w:val="0"/>
        </w:rPr>
        <w:t xml:space="preserve">button on the top right of the page to view the currently active BPMN diagram.</w:t>
      </w:r>
    </w:p>
    <w:p w:rsidR="00000000" w:rsidDel="00000000" w:rsidP="00000000" w:rsidRDefault="00000000" w:rsidRPr="00000000" w14:paraId="00000022">
      <w:pPr>
        <w:contextualSpacing w:val="0"/>
        <w:jc w:val="center"/>
        <w:rPr/>
      </w:pPr>
      <w:r w:rsidDel="00000000" w:rsidR="00000000" w:rsidRPr="00000000">
        <w:rPr/>
        <w:drawing>
          <wp:inline distB="114300" distT="114300" distL="114300" distR="114300">
            <wp:extent cx="1343025" cy="628650"/>
            <wp:effectExtent b="0" l="0" r="0" t="0"/>
            <wp:docPr id="26"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13430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943600" cy="2311400"/>
            <wp:effectExtent b="0" l="0" r="0" t="0"/>
            <wp:docPr id="27"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b w:val="1"/>
          <w:rtl w:val="0"/>
        </w:rPr>
        <w:t xml:space="preserve">5.2 Click “Calculate Risk”</w:t>
      </w:r>
      <w:r w:rsidDel="00000000" w:rsidR="00000000" w:rsidRPr="00000000">
        <w:rPr>
          <w:rtl w:val="0"/>
        </w:rPr>
        <w:t xml:space="preserve"> on the currently active task to redirect to risk assessment interface which assists to figure out the risk level.</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2738438" cy="1767360"/>
            <wp:effectExtent b="0" l="0" r="0" t="0"/>
            <wp:docPr id="18"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2738438" cy="1767360"/>
                    </a:xfrm>
                    <a:prstGeom prst="rect"/>
                    <a:ln/>
                  </pic:spPr>
                </pic:pic>
              </a:graphicData>
            </a:graphic>
          </wp:inline>
        </w:drawing>
      </w:r>
      <w:r w:rsidDel="00000000" w:rsidR="00000000" w:rsidRPr="00000000">
        <w:rPr/>
        <w:drawing>
          <wp:inline distB="114300" distT="114300" distL="114300" distR="114300">
            <wp:extent cx="3119438" cy="1762341"/>
            <wp:effectExtent b="0" l="0" r="0" t="0"/>
            <wp:docPr id="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119438" cy="176234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contextualSpacing w:val="0"/>
        <w:rPr/>
      </w:pPr>
      <w:bookmarkStart w:colFirst="0" w:colLast="0" w:name="_1t3h5sf" w:id="8"/>
      <w:bookmarkEnd w:id="8"/>
      <w:r w:rsidDel="00000000" w:rsidR="00000000" w:rsidRPr="00000000">
        <w:rPr>
          <w:rtl w:val="0"/>
        </w:rPr>
        <w:t xml:space="preserve">Step 6</w:t>
      </w:r>
    </w:p>
    <w:p w:rsidR="00000000" w:rsidDel="00000000" w:rsidP="00000000" w:rsidRDefault="00000000" w:rsidRPr="00000000" w14:paraId="00000027">
      <w:pPr>
        <w:contextualSpacing w:val="0"/>
        <w:rPr/>
      </w:pPr>
      <w:r w:rsidDel="00000000" w:rsidR="00000000" w:rsidRPr="00000000">
        <w:rPr>
          <w:rtl w:val="0"/>
        </w:rPr>
        <w:t xml:space="preserve">With the “</w:t>
      </w:r>
      <w:r w:rsidDel="00000000" w:rsidR="00000000" w:rsidRPr="00000000">
        <w:rPr>
          <w:b w:val="1"/>
          <w:rtl w:val="0"/>
        </w:rPr>
        <w:t xml:space="preserve">Transition Readiness Review</w:t>
      </w:r>
      <w:r w:rsidDel="00000000" w:rsidR="00000000" w:rsidRPr="00000000">
        <w:rPr>
          <w:rtl w:val="0"/>
        </w:rPr>
        <w:t xml:space="preserve">” task, </w:t>
      </w:r>
      <w:r w:rsidDel="00000000" w:rsidR="00000000" w:rsidRPr="00000000">
        <w:rPr>
          <w:b w:val="1"/>
          <w:rtl w:val="0"/>
        </w:rPr>
        <w:t xml:space="preserve">click “Complete Task”</w:t>
      </w:r>
      <w:r w:rsidDel="00000000" w:rsidR="00000000" w:rsidRPr="00000000">
        <w:rPr>
          <w:rtl w:val="0"/>
        </w:rPr>
        <w:t xml:space="preserve">. The system gathers current settings (e.g. risk factors) and queries Risk Prediction API for analysis.</w:t>
      </w:r>
    </w:p>
    <w:p w:rsidR="00000000" w:rsidDel="00000000" w:rsidP="00000000" w:rsidRDefault="00000000" w:rsidRPr="00000000" w14:paraId="00000028">
      <w:pPr>
        <w:contextualSpacing w:val="0"/>
        <w:rPr/>
      </w:pPr>
      <w:r w:rsidDel="00000000" w:rsidR="00000000" w:rsidRPr="00000000">
        <w:rPr>
          <w:rtl w:val="0"/>
        </w:rPr>
        <w:t xml:space="preserve">After analyzing, the Risk Prediction Engine helps to work out the risk level and the priority of suggested actions. We can </w:t>
      </w:r>
      <w:r w:rsidDel="00000000" w:rsidR="00000000" w:rsidRPr="00000000">
        <w:rPr>
          <w:b w:val="1"/>
          <w:rtl w:val="0"/>
        </w:rPr>
        <w:t xml:space="preserve">select the expected actions</w:t>
      </w:r>
      <w:r w:rsidDel="00000000" w:rsidR="00000000" w:rsidRPr="00000000">
        <w:rPr>
          <w:rtl w:val="0"/>
        </w:rPr>
        <w:t xml:space="preserve"> and</w:t>
      </w:r>
      <w:r w:rsidDel="00000000" w:rsidR="00000000" w:rsidRPr="00000000">
        <w:rPr>
          <w:b w:val="1"/>
          <w:rtl w:val="0"/>
        </w:rPr>
        <w:t xml:space="preserve"> click “Accept” </w:t>
      </w:r>
      <w:r w:rsidDel="00000000" w:rsidR="00000000" w:rsidRPr="00000000">
        <w:rPr>
          <w:rtl w:val="0"/>
        </w:rPr>
        <w:t xml:space="preserve">to fo</w:t>
      </w:r>
      <w:r w:rsidDel="00000000" w:rsidR="00000000" w:rsidRPr="00000000">
        <w:rPr>
          <w:color w:val="666666"/>
          <w:rtl w:val="0"/>
        </w:rPr>
        <w:t xml:space="preserve">llow system’s</w:t>
      </w:r>
      <w:r w:rsidDel="00000000" w:rsidR="00000000" w:rsidRPr="00000000">
        <w:rPr>
          <w:rtl w:val="0"/>
        </w:rPr>
        <w:t xml:space="preserve"> suggestion. For example, we can “Accept” to “</w:t>
      </w:r>
      <w:r w:rsidDel="00000000" w:rsidR="00000000" w:rsidRPr="00000000">
        <w:rPr>
          <w:b w:val="1"/>
          <w:rtl w:val="0"/>
        </w:rPr>
        <w:t xml:space="preserve">Update Project Plan and Milestone</w:t>
      </w:r>
      <w:r w:rsidDel="00000000" w:rsidR="00000000" w:rsidRPr="00000000">
        <w:rPr>
          <w:rtl w:val="0"/>
        </w:rPr>
        <w:t xml:space="preserve">”. </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943600" cy="29337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left"/>
        <w:rPr/>
      </w:pPr>
      <w:r w:rsidDel="00000000" w:rsidR="00000000" w:rsidRPr="00000000">
        <w:rPr>
          <w:rtl w:val="0"/>
        </w:rPr>
        <w:t xml:space="preserve">Different activities will be triggered according to our selection, and the tasks then will change. we can click “Show BPMN” to view the new BPMN workflow of selected activities.</w:t>
      </w:r>
    </w:p>
    <w:p w:rsidR="00000000" w:rsidDel="00000000" w:rsidP="00000000" w:rsidRDefault="00000000" w:rsidRPr="00000000" w14:paraId="0000002B">
      <w:pPr>
        <w:pStyle w:val="Heading1"/>
        <w:contextualSpacing w:val="0"/>
        <w:rPr/>
      </w:pPr>
      <w:bookmarkStart w:colFirst="0" w:colLast="0" w:name="_4d34og8" w:id="9"/>
      <w:bookmarkEnd w:id="9"/>
      <w:r w:rsidDel="00000000" w:rsidR="00000000" w:rsidRPr="00000000">
        <w:rPr>
          <w:rtl w:val="0"/>
        </w:rPr>
        <w:t xml:space="preserve">Step 7</w:t>
      </w:r>
    </w:p>
    <w:p w:rsidR="00000000" w:rsidDel="00000000" w:rsidP="00000000" w:rsidRDefault="00000000" w:rsidRPr="00000000" w14:paraId="0000002C">
      <w:pPr>
        <w:contextualSpacing w:val="0"/>
        <w:rPr/>
      </w:pPr>
      <w:r w:rsidDel="00000000" w:rsidR="00000000" w:rsidRPr="00000000">
        <w:rPr>
          <w:b w:val="1"/>
          <w:rtl w:val="0"/>
        </w:rPr>
        <w:t xml:space="preserve">Click “Update Risk Factors”</w:t>
      </w:r>
      <w:r w:rsidDel="00000000" w:rsidR="00000000" w:rsidRPr="00000000">
        <w:rPr>
          <w:rtl w:val="0"/>
        </w:rPr>
        <w:t xml:space="preserve"> on the top of the page, we can go to the “Factor Input” interface again. </w:t>
      </w:r>
    </w:p>
    <w:p w:rsidR="00000000" w:rsidDel="00000000" w:rsidP="00000000" w:rsidRDefault="00000000" w:rsidRPr="00000000" w14:paraId="0000002D">
      <w:pPr>
        <w:contextualSpacing w:val="0"/>
        <w:jc w:val="center"/>
        <w:rPr/>
      </w:pPr>
      <w:r w:rsidDel="00000000" w:rsidR="00000000" w:rsidRPr="00000000">
        <w:rPr/>
        <w:drawing>
          <wp:inline distB="114300" distT="114300" distL="114300" distR="114300">
            <wp:extent cx="1838325" cy="542925"/>
            <wp:effectExtent b="0" l="0" r="0" t="0"/>
            <wp:docPr id="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8383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b w:val="1"/>
          <w:rtl w:val="0"/>
        </w:rPr>
        <w:t xml:space="preserve">Adjust the values</w:t>
      </w:r>
      <w:r w:rsidDel="00000000" w:rsidR="00000000" w:rsidRPr="00000000">
        <w:rPr>
          <w:rtl w:val="0"/>
        </w:rPr>
        <w:t xml:space="preserve"> for each factor. For example, this time, we can reduce the level or “Software Complexity” and “Hardware Complexity” and increase the level of “Application Experience”.</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943600" cy="1447800"/>
            <wp:effectExtent b="0" l="0" r="0" t="0"/>
            <wp:docPr id="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Then </w:t>
      </w:r>
      <w:r w:rsidDel="00000000" w:rsidR="00000000" w:rsidRPr="00000000">
        <w:rPr>
          <w:b w:val="1"/>
          <w:rtl w:val="0"/>
        </w:rPr>
        <w:t xml:space="preserve">click “Next” - &gt; “Estimate” -&gt; “Start” to back to the “Project Management Dashboard”</w:t>
      </w:r>
      <w:r w:rsidDel="00000000" w:rsidR="00000000" w:rsidRPr="00000000">
        <w:rPr>
          <w:rtl w:val="0"/>
        </w:rPr>
      </w:r>
    </w:p>
    <w:p w:rsidR="00000000" w:rsidDel="00000000" w:rsidP="00000000" w:rsidRDefault="00000000" w:rsidRPr="00000000" w14:paraId="00000031">
      <w:pPr>
        <w:contextualSpacing w:val="0"/>
        <w:jc w:val="center"/>
        <w:rPr/>
      </w:pPr>
      <w:r w:rsidDel="00000000" w:rsidR="00000000" w:rsidRPr="00000000">
        <w:rPr/>
        <w:drawing>
          <wp:inline distB="114300" distT="114300" distL="114300" distR="114300">
            <wp:extent cx="1748513" cy="1944688"/>
            <wp:effectExtent b="0" l="0" r="0" t="0"/>
            <wp:docPr id="1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748513" cy="1944688"/>
                    </a:xfrm>
                    <a:prstGeom prst="rect"/>
                    <a:ln/>
                  </pic:spPr>
                </pic:pic>
              </a:graphicData>
            </a:graphic>
          </wp:inline>
        </w:drawing>
      </w:r>
      <w:r w:rsidDel="00000000" w:rsidR="00000000" w:rsidRPr="00000000">
        <w:rPr/>
        <w:drawing>
          <wp:inline distB="114300" distT="114300" distL="114300" distR="114300">
            <wp:extent cx="3343275" cy="953158"/>
            <wp:effectExtent b="0" l="0" r="0" t="0"/>
            <wp:docPr id="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343275" cy="9531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contextualSpacing w:val="0"/>
        <w:rPr/>
      </w:pPr>
      <w:bookmarkStart w:colFirst="0" w:colLast="0" w:name="_2s8eyo1" w:id="10"/>
      <w:bookmarkEnd w:id="10"/>
      <w:r w:rsidDel="00000000" w:rsidR="00000000" w:rsidRPr="00000000">
        <w:rPr>
          <w:rtl w:val="0"/>
        </w:rPr>
        <w:t xml:space="preserve">Step 8</w:t>
      </w:r>
    </w:p>
    <w:p w:rsidR="00000000" w:rsidDel="00000000" w:rsidP="00000000" w:rsidRDefault="00000000" w:rsidRPr="00000000" w14:paraId="00000033">
      <w:pPr>
        <w:contextualSpacing w:val="0"/>
        <w:rPr/>
      </w:pPr>
      <w:r w:rsidDel="00000000" w:rsidR="00000000" w:rsidRPr="00000000">
        <w:rPr>
          <w:rtl w:val="0"/>
        </w:rPr>
        <w:t xml:space="preserve">After “Complete” all tasks, we come to the task of “Transition Readiness Review” again. The system will query the current risk level from Risk Prediction Engine based on the current settings. Our current setting shows the predicted risk level is reduced.</w:t>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2714625" cy="1733550"/>
            <wp:effectExtent b="0" l="0" r="0" t="0"/>
            <wp:docPr id="23"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2714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pPr>
      <w:r w:rsidDel="00000000" w:rsidR="00000000" w:rsidRPr="00000000">
        <w:rPr/>
        <w:drawing>
          <wp:inline distB="114300" distT="114300" distL="114300" distR="114300">
            <wp:extent cx="2266950" cy="381000"/>
            <wp:effectExtent b="0" l="0" r="0" t="0"/>
            <wp:docPr id="1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2669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contextualSpacing w:val="0"/>
        <w:rPr/>
      </w:pPr>
      <w:bookmarkStart w:colFirst="0" w:colLast="0" w:name="_17dp8vu" w:id="11"/>
      <w:bookmarkEnd w:id="11"/>
      <w:r w:rsidDel="00000000" w:rsidR="00000000" w:rsidRPr="00000000">
        <w:rPr>
          <w:rtl w:val="0"/>
        </w:rPr>
        <w:t xml:space="preserve">Step 9</w:t>
      </w:r>
    </w:p>
    <w:p w:rsidR="00000000" w:rsidDel="00000000" w:rsidP="00000000" w:rsidRDefault="00000000" w:rsidRPr="00000000" w14:paraId="00000037">
      <w:pPr>
        <w:contextualSpacing w:val="0"/>
        <w:rPr/>
      </w:pPr>
      <w:r w:rsidDel="00000000" w:rsidR="00000000" w:rsidRPr="00000000">
        <w:rPr>
          <w:rtl w:val="0"/>
        </w:rPr>
        <w:t xml:space="preserve">In addition to Step 6, if we don’t want to “Accept” the system’s suggestion but insist to go on with the process, we just click “Override”. Then the “Transition” activity will be triggered. </w:t>
      </w:r>
    </w:p>
    <w:p w:rsidR="00000000" w:rsidDel="00000000" w:rsidP="00000000" w:rsidRDefault="00000000" w:rsidRPr="00000000" w14:paraId="00000038">
      <w:pPr>
        <w:contextualSpacing w:val="0"/>
        <w:rPr/>
      </w:pPr>
      <w:r w:rsidDel="00000000" w:rsidR="00000000" w:rsidRPr="00000000">
        <w:rPr>
          <w:rtl w:val="0"/>
        </w:rPr>
        <w:t xml:space="preserve">Open BPMN diagram and see what happens.</w:t>
      </w:r>
    </w:p>
    <w:p w:rsidR="00000000" w:rsidDel="00000000" w:rsidP="00000000" w:rsidRDefault="00000000" w:rsidRPr="00000000" w14:paraId="00000039">
      <w:pPr>
        <w:contextualSpacing w:val="0"/>
        <w:jc w:val="center"/>
        <w:rPr>
          <w:rFonts w:ascii="Proxima Nova" w:cs="Proxima Nova" w:eastAsia="Proxima Nova" w:hAnsi="Proxima Nova"/>
          <w:color w:val="666666"/>
        </w:rPr>
      </w:pPr>
      <w:r w:rsidDel="00000000" w:rsidR="00000000" w:rsidRPr="00000000">
        <w:rPr>
          <w:color w:val="666666"/>
        </w:rPr>
        <w:drawing>
          <wp:inline distB="114300" distT="114300" distL="114300" distR="114300">
            <wp:extent cx="1323975" cy="533400"/>
            <wp:effectExtent b="0" l="0" r="0" t="0"/>
            <wp:docPr id="1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1323975" cy="533400"/>
                    </a:xfrm>
                    <a:prstGeom prst="rect"/>
                    <a:ln/>
                  </pic:spPr>
                </pic:pic>
              </a:graphicData>
            </a:graphic>
          </wp:inline>
        </w:drawing>
      </w:r>
      <w:r w:rsidDel="00000000" w:rsidR="00000000" w:rsidRPr="00000000">
        <w:rPr>
          <w:color w:val="666666"/>
        </w:rPr>
        <w:drawing>
          <wp:inline distB="114300" distT="114300" distL="114300" distR="114300">
            <wp:extent cx="4876800" cy="2076450"/>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768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480" w:lineRule="auto"/>
        <w:contextualSpacing w:val="0"/>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25" name="image50.png"/>
            <a:graphic>
              <a:graphicData uri="http://schemas.openxmlformats.org/drawingml/2006/picture">
                <pic:pic>
                  <pic:nvPicPr>
                    <pic:cNvPr descr="short dash" id="0" name="image50.png"/>
                    <pic:cNvPicPr preferRelativeResize="0"/>
                  </pic:nvPicPr>
                  <pic:blipFill>
                    <a:blip r:embed="rId28"/>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480" w:line="300" w:lineRule="auto"/>
        <w:ind w:left="0" w:right="0" w:firstLine="0"/>
        <w:contextualSpacing w:val="0"/>
        <w:jc w:val="left"/>
        <w:rPr/>
      </w:pPr>
      <w:bookmarkStart w:colFirst="0" w:colLast="0" w:name="_3rdcrjn" w:id="12"/>
      <w:bookmarkEnd w:id="12"/>
      <w:r w:rsidDel="00000000" w:rsidR="00000000" w:rsidRPr="00000000">
        <w:rPr>
          <w:color w:val="039be5"/>
          <w:sz w:val="36"/>
          <w:szCs w:val="36"/>
          <w:rtl w:val="0"/>
        </w:rPr>
        <w:t xml:space="preserve">Risk</w:t>
      </w:r>
      <w:r w:rsidDel="00000000" w:rsidR="00000000" w:rsidRPr="00000000">
        <w:rPr>
          <w:rtl w:val="0"/>
        </w:rPr>
        <w:t xml:space="preserve"> Prediction Model API Prototype</w:t>
      </w:r>
    </w:p>
    <w:p w:rsidR="00000000" w:rsidDel="00000000" w:rsidP="00000000" w:rsidRDefault="00000000" w:rsidRPr="00000000" w14:paraId="0000003C">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480" w:line="300" w:lineRule="auto"/>
        <w:ind w:left="0" w:right="0" w:firstLine="0"/>
        <w:contextualSpacing w:val="0"/>
        <w:jc w:val="left"/>
        <w:rPr/>
      </w:pPr>
      <w:bookmarkStart w:colFirst="0" w:colLast="0" w:name="_26in1rg" w:id="13"/>
      <w:bookmarkEnd w:id="13"/>
      <w:r w:rsidDel="00000000" w:rsidR="00000000" w:rsidRPr="00000000">
        <w:rPr>
          <w:color w:val="039be5"/>
          <w:sz w:val="36"/>
          <w:szCs w:val="36"/>
          <w:rtl w:val="0"/>
        </w:rPr>
        <w:t xml:space="preserve">Step</w:t>
      </w:r>
      <w:r w:rsidDel="00000000" w:rsidR="00000000" w:rsidRPr="00000000">
        <w:rPr>
          <w:rtl w:val="0"/>
        </w:rPr>
        <w:t xml:space="preserve"> 1</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Input URL:  </w:t>
      </w:r>
      <w:hyperlink r:id="rId29">
        <w:r w:rsidDel="00000000" w:rsidR="00000000" w:rsidRPr="00000000">
          <w:rPr>
            <w:rFonts w:ascii="Arial" w:cs="Arial" w:eastAsia="Arial" w:hAnsi="Arial"/>
            <w:i w:val="1"/>
            <w:color w:val="222222"/>
            <w:sz w:val="28"/>
            <w:szCs w:val="28"/>
            <w:rtl w:val="0"/>
          </w:rPr>
          <w:t xml:space="preserve">http://ec2-54-67-99-52.us-west-1.compute.amazonaws.com:808</w:t>
        </w:r>
      </w:hyperlink>
      <w:r w:rsidDel="00000000" w:rsidR="00000000" w:rsidRPr="00000000">
        <w:rPr>
          <w:rFonts w:ascii="Arial" w:cs="Arial" w:eastAsia="Arial" w:hAnsi="Arial"/>
          <w:i w:val="1"/>
          <w:color w:val="222222"/>
          <w:sz w:val="28"/>
          <w:szCs w:val="28"/>
          <w:rtl w:val="0"/>
        </w:rPr>
        <w:t xml:space="preserve">1</w:t>
      </w:r>
      <w:r w:rsidDel="00000000" w:rsidR="00000000" w:rsidRPr="00000000">
        <w:rPr>
          <w:rtl w:val="0"/>
        </w:rPr>
        <w:t xml:space="preserve"> to load the Risk Prediction Model API Prototype Page.</w:t>
      </w:r>
    </w:p>
    <w:p w:rsidR="00000000" w:rsidDel="00000000" w:rsidP="00000000" w:rsidRDefault="00000000" w:rsidRPr="00000000" w14:paraId="0000003E">
      <w:pPr>
        <w:contextualSpacing w:val="0"/>
        <w:jc w:val="center"/>
        <w:rPr/>
      </w:pPr>
      <w:r w:rsidDel="00000000" w:rsidR="00000000" w:rsidRPr="00000000">
        <w:rPr/>
        <w:drawing>
          <wp:inline distB="114300" distT="114300" distL="114300" distR="114300">
            <wp:extent cx="4100513" cy="1182840"/>
            <wp:effectExtent b="0" l="0" r="0" t="0"/>
            <wp:docPr id="28"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100513" cy="11828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480" w:line="300" w:lineRule="auto"/>
        <w:ind w:left="0" w:right="0" w:firstLine="0"/>
        <w:contextualSpacing w:val="0"/>
        <w:jc w:val="left"/>
        <w:rPr/>
      </w:pPr>
      <w:bookmarkStart w:colFirst="0" w:colLast="0" w:name="_lnxbz9" w:id="14"/>
      <w:bookmarkEnd w:id="14"/>
      <w:r w:rsidDel="00000000" w:rsidR="00000000" w:rsidRPr="00000000">
        <w:rPr>
          <w:color w:val="039be5"/>
          <w:sz w:val="36"/>
          <w:szCs w:val="36"/>
          <w:rtl w:val="0"/>
        </w:rPr>
        <w:t xml:space="preserve">Step</w:t>
      </w:r>
      <w:r w:rsidDel="00000000" w:rsidR="00000000" w:rsidRPr="00000000">
        <w:rPr>
          <w:rtl w:val="0"/>
        </w:rPr>
        <w:t xml:space="preserve"> 2</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Upload a csv file including the data according to the defined factors, which can also be downloaded from the link given in the above figure.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393700"/>
            <wp:effectExtent b="0" l="0" r="0" t="0"/>
            <wp:docPr id="22"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480" w:line="300" w:lineRule="auto"/>
        <w:ind w:left="0" w:right="0" w:firstLine="0"/>
        <w:contextualSpacing w:val="0"/>
        <w:jc w:val="left"/>
        <w:rPr/>
      </w:pPr>
      <w:bookmarkStart w:colFirst="0" w:colLast="0" w:name="_35nkun2" w:id="15"/>
      <w:bookmarkEnd w:id="15"/>
      <w:r w:rsidDel="00000000" w:rsidR="00000000" w:rsidRPr="00000000">
        <w:rPr>
          <w:rtl w:val="0"/>
        </w:rPr>
        <w:t xml:space="preserve">Step</w:t>
      </w:r>
      <w:r w:rsidDel="00000000" w:rsidR="00000000" w:rsidRPr="00000000">
        <w:rPr>
          <w:color w:val="039be5"/>
          <w:sz w:val="36"/>
          <w:szCs w:val="36"/>
          <w:rtl w:val="0"/>
        </w:rPr>
        <w:t xml:space="preserve"> </w:t>
      </w:r>
      <w:r w:rsidDel="00000000" w:rsidR="00000000" w:rsidRPr="00000000">
        <w:rPr>
          <w:rtl w:val="0"/>
        </w:rPr>
        <w:t xml:space="preserve">3</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View the risk prediction results given by the model.</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032000"/>
            <wp:effectExtent b="0" l="0" r="0" t="0"/>
            <wp:docPr id="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sectPr>
      <w:headerReference r:id="rId33" w:type="default"/>
      <w:headerReference r:id="rId34" w:type="first"/>
      <w:footerReference r:id="rId35" w:type="default"/>
      <w:footerReference r:id="rId36" w:type="first"/>
      <w:pgSz w:h="15840" w:w="12240"/>
      <w:pgMar w:bottom="1440" w:top="1440" w:left="1440" w:right="1440" w:header="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-914398</wp:posOffset>
          </wp:positionH>
          <wp:positionV relativeFrom="paragraph">
            <wp:posOffset>438150</wp:posOffset>
          </wp:positionV>
          <wp:extent cx="7781925" cy="409575"/>
          <wp:effectExtent b="0" l="0" r="0" t="0"/>
          <wp:wrapTopAndBottom distB="0" distT="0"/>
          <wp:docPr descr="footer" id="14" name="image39.png"/>
          <a:graphic>
            <a:graphicData uri="http://schemas.openxmlformats.org/drawingml/2006/picture">
              <pic:pic>
                <pic:nvPicPr>
                  <pic:cNvPr descr="footer" id="0" name="image3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-914398</wp:posOffset>
          </wp:positionH>
          <wp:positionV relativeFrom="paragraph">
            <wp:posOffset>438150</wp:posOffset>
          </wp:positionV>
          <wp:extent cx="7781925" cy="409575"/>
          <wp:effectExtent b="0" l="0" r="0" t="0"/>
          <wp:wrapTopAndBottom distB="0" distT="0"/>
          <wp:docPr descr="footer" id="12" name="image37.png"/>
          <a:graphic>
            <a:graphicData uri="http://schemas.openxmlformats.org/drawingml/2006/picture">
              <pic:pic>
                <pic:nvPicPr>
                  <pic:cNvPr descr="footer" id="0" name="image3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640" w:line="300" w:lineRule="auto"/>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-914398</wp:posOffset>
          </wp:positionH>
          <wp:positionV relativeFrom="paragraph">
            <wp:posOffset>-66673</wp:posOffset>
          </wp:positionV>
          <wp:extent cx="7781925" cy="95250"/>
          <wp:effectExtent b="0" l="0" r="0" t="0"/>
          <wp:wrapTopAndBottom distB="0" distT="0"/>
          <wp:docPr descr="horizontal line" id="17" name="image42.png"/>
          <a:graphic>
            <a:graphicData uri="http://schemas.openxmlformats.org/drawingml/2006/picture">
              <pic:pic>
                <pic:nvPicPr>
                  <pic:cNvPr descr="horizontal line" id="0" name="image4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-919161</wp:posOffset>
          </wp:positionH>
          <wp:positionV relativeFrom="paragraph">
            <wp:posOffset>-66673</wp:posOffset>
          </wp:positionV>
          <wp:extent cx="7781925" cy="95250"/>
          <wp:effectExtent b="0" l="0" r="0" t="0"/>
          <wp:wrapTopAndBottom distB="0" distT="0"/>
          <wp:docPr descr="horizontal line" id="16" name="image41.png"/>
          <a:graphic>
            <a:graphicData uri="http://schemas.openxmlformats.org/drawingml/2006/picture">
              <pic:pic>
                <pic:nvPicPr>
                  <pic:cNvPr descr="horizontal line" id="0" name="image41.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0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0" name="image56.png"/>
          <a:graphic>
            <a:graphicData uri="http://schemas.openxmlformats.org/drawingml/2006/picture">
              <pic:pic>
                <pic:nvPicPr>
                  <pic:cNvPr descr="short line" id="0" name="image56.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-919161</wp:posOffset>
          </wp:positionH>
          <wp:positionV relativeFrom="paragraph">
            <wp:posOffset>-66673</wp:posOffset>
          </wp:positionV>
          <wp:extent cx="7781925" cy="95250"/>
          <wp:effectExtent b="0" l="0" r="0" t="0"/>
          <wp:wrapTopAndBottom distB="0" distT="0"/>
          <wp:docPr descr="horizontal line" id="13" name="image38.png"/>
          <a:graphic>
            <a:graphicData uri="http://schemas.openxmlformats.org/drawingml/2006/picture">
              <pic:pic>
                <pic:nvPicPr>
                  <pic:cNvPr descr="horizontal line" id="0" name="image38.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5.png"/><Relationship Id="rId21" Type="http://schemas.openxmlformats.org/officeDocument/2006/relationships/image" Target="media/image30.png"/><Relationship Id="rId24" Type="http://schemas.openxmlformats.org/officeDocument/2006/relationships/image" Target="media/image48.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26" Type="http://schemas.openxmlformats.org/officeDocument/2006/relationships/image" Target="media/image40.png"/><Relationship Id="rId25" Type="http://schemas.openxmlformats.org/officeDocument/2006/relationships/image" Target="media/image36.png"/><Relationship Id="rId28" Type="http://schemas.openxmlformats.org/officeDocument/2006/relationships/image" Target="media/image5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hyperlink" Target="http://ec2-54-67-99-52.us-west-1.compute.amazonaws.com:8081" TargetMode="External"/><Relationship Id="rId7" Type="http://schemas.openxmlformats.org/officeDocument/2006/relationships/hyperlink" Target="http://ec2-54-67-99-52.us-west-1.compute.amazonaws.com:8686/demo/phase5/start/factorsInputPage.html" TargetMode="External"/><Relationship Id="rId8" Type="http://schemas.openxmlformats.org/officeDocument/2006/relationships/image" Target="media/image46.png"/><Relationship Id="rId31" Type="http://schemas.openxmlformats.org/officeDocument/2006/relationships/image" Target="media/image47.png"/><Relationship Id="rId30" Type="http://schemas.openxmlformats.org/officeDocument/2006/relationships/image" Target="media/image53.png"/><Relationship Id="rId11" Type="http://schemas.openxmlformats.org/officeDocument/2006/relationships/image" Target="media/image44.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33.png"/><Relationship Id="rId13" Type="http://schemas.openxmlformats.org/officeDocument/2006/relationships/image" Target="media/image55.png"/><Relationship Id="rId35" Type="http://schemas.openxmlformats.org/officeDocument/2006/relationships/footer" Target="footer1.xml"/><Relationship Id="rId12" Type="http://schemas.openxmlformats.org/officeDocument/2006/relationships/image" Target="media/image57.png"/><Relationship Id="rId34" Type="http://schemas.openxmlformats.org/officeDocument/2006/relationships/header" Target="header2.xml"/><Relationship Id="rId15" Type="http://schemas.openxmlformats.org/officeDocument/2006/relationships/image" Target="media/image51.png"/><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43.png"/><Relationship Id="rId16" Type="http://schemas.openxmlformats.org/officeDocument/2006/relationships/image" Target="media/image52.png"/><Relationship Id="rId19" Type="http://schemas.openxmlformats.org/officeDocument/2006/relationships/image" Target="media/image8.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1.png"/><Relationship Id="rId3"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