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704A" w14:textId="77777777" w:rsidR="002A2A03" w:rsidRDefault="002A2A03"/>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67E32575" w14:textId="0D78CDB7" w:rsidR="004269A6" w:rsidRDefault="0098218A" w:rsidP="004269A6">
      <w:pPr>
        <w:jc w:val="center"/>
        <w:rPr>
          <w:noProof/>
        </w:rPr>
      </w:pPr>
      <w:bookmarkStart w:id="0" w:name="_Hlk50027378"/>
      <w:r>
        <w:rPr>
          <w:b/>
        </w:rPr>
        <w:t xml:space="preserve">Assignment </w:t>
      </w:r>
      <w:r w:rsidR="009D2C1F">
        <w:rPr>
          <w:b/>
        </w:rPr>
        <w:t>3</w:t>
      </w:r>
      <w:r>
        <w:rPr>
          <w:b/>
        </w:rPr>
        <w:t xml:space="preserve"> – </w:t>
      </w:r>
      <w:r w:rsidR="009D2C1F">
        <w:rPr>
          <w:b/>
        </w:rPr>
        <w:t>Cloud Case Study Analysis</w:t>
      </w:r>
    </w:p>
    <w:bookmarkEnd w:id="0"/>
    <w:p w14:paraId="68ABBB5D" w14:textId="77777777" w:rsidR="00E1429E" w:rsidRPr="00E1429E" w:rsidRDefault="00E1429E" w:rsidP="00A22BAF">
      <w:pPr>
        <w:jc w:val="center"/>
        <w:rPr>
          <w:b/>
        </w:rPr>
      </w:pPr>
    </w:p>
    <w:p w14:paraId="7D6CCBB5" w14:textId="0E7BB0FA" w:rsidR="002A2A03" w:rsidRDefault="00AD49E4" w:rsidP="00A22BAF">
      <w:pPr>
        <w:jc w:val="center"/>
      </w:pPr>
      <w:r>
        <w:t>Paul Polsinelli</w:t>
      </w:r>
    </w:p>
    <w:p w14:paraId="51CFD66A" w14:textId="1E5BDAD4" w:rsidR="002A2A03" w:rsidRDefault="00AD49E4" w:rsidP="00A22BAF">
      <w:pPr>
        <w:jc w:val="center"/>
      </w:pPr>
      <w:r>
        <w:t>Info</w:t>
      </w:r>
      <w:r w:rsidR="00941ED0">
        <w:t>rmation</w:t>
      </w:r>
      <w:r>
        <w:t xml:space="preserve"> Tech</w:t>
      </w:r>
      <w:r w:rsidR="00941ED0">
        <w:t>nology</w:t>
      </w:r>
      <w:r w:rsidR="00E1429E">
        <w:t xml:space="preserve">, </w:t>
      </w:r>
      <w:r w:rsidR="00F07601">
        <w:t>Arizona State University</w:t>
      </w:r>
    </w:p>
    <w:p w14:paraId="7A145E3A" w14:textId="4EC0DF15" w:rsidR="00B34DAD" w:rsidRDefault="003410C3" w:rsidP="00A22BAF">
      <w:pPr>
        <w:jc w:val="center"/>
      </w:pPr>
      <w:r>
        <w:t xml:space="preserve">IFT </w:t>
      </w:r>
      <w:r w:rsidR="00AD49E4">
        <w:t>472</w:t>
      </w:r>
      <w:r w:rsidR="00E1429E">
        <w:t xml:space="preserve">: </w:t>
      </w:r>
      <w:r w:rsidR="00AD49E4">
        <w:t>Managing the Cloud</w:t>
      </w:r>
    </w:p>
    <w:p w14:paraId="66267BB8" w14:textId="7A1EE536" w:rsidR="00E1429E" w:rsidRDefault="00E1429E" w:rsidP="00A22BAF">
      <w:pPr>
        <w:jc w:val="center"/>
      </w:pPr>
      <w:r>
        <w:t>Professor</w:t>
      </w:r>
      <w:r w:rsidR="00AD49E4">
        <w:t xml:space="preserve"> Neff</w:t>
      </w:r>
    </w:p>
    <w:p w14:paraId="62B6EFE3" w14:textId="28F3EDEB" w:rsidR="00E1429E" w:rsidRDefault="0041119D" w:rsidP="00A22BAF">
      <w:pPr>
        <w:jc w:val="center"/>
      </w:pPr>
      <w:r>
        <w:t xml:space="preserve">Sep </w:t>
      </w:r>
      <w:r w:rsidR="009D2C1F">
        <w:t>27</w:t>
      </w:r>
      <w:r w:rsidR="00AD49E4" w:rsidRPr="00AD49E4">
        <w:rPr>
          <w:vertAlign w:val="superscript"/>
        </w:rPr>
        <w:t>th</w:t>
      </w:r>
      <w:r w:rsidR="00AD49E4">
        <w:t>, 2020</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5EB9CBF6" w:rsidR="00647F4F" w:rsidRDefault="00647F4F" w:rsidP="00B55A2F">
      <w:pPr>
        <w:ind w:firstLine="0"/>
        <w:jc w:val="center"/>
      </w:pPr>
    </w:p>
    <w:p w14:paraId="18D27DED" w14:textId="3A298DA3" w:rsidR="00647F4F" w:rsidRDefault="00647F4F" w:rsidP="00B55A2F">
      <w:pPr>
        <w:ind w:firstLine="0"/>
        <w:jc w:val="center"/>
      </w:pPr>
    </w:p>
    <w:p w14:paraId="672B8645" w14:textId="77777777" w:rsidR="003C176F" w:rsidRDefault="003C176F" w:rsidP="00B55A2F">
      <w:pPr>
        <w:ind w:firstLine="0"/>
        <w:jc w:val="center"/>
      </w:pPr>
    </w:p>
    <w:p w14:paraId="2F077F72" w14:textId="28D3099D" w:rsidR="00153415" w:rsidRPr="006731D2" w:rsidRDefault="009E7857" w:rsidP="00357F49">
      <w:pPr>
        <w:jc w:val="center"/>
        <w:rPr>
          <w:noProof/>
        </w:rPr>
      </w:pPr>
      <w:r>
        <w:rPr>
          <w:b/>
        </w:rPr>
        <w:lastRenderedPageBreak/>
        <w:t xml:space="preserve">Assignment </w:t>
      </w:r>
      <w:r w:rsidR="009D2C1F">
        <w:rPr>
          <w:b/>
        </w:rPr>
        <w:t>3</w:t>
      </w:r>
      <w:r>
        <w:rPr>
          <w:b/>
        </w:rPr>
        <w:t xml:space="preserve"> – </w:t>
      </w:r>
      <w:r w:rsidR="009D2C1F">
        <w:rPr>
          <w:b/>
        </w:rPr>
        <w:t>Cloud Case Study Analysis</w:t>
      </w:r>
    </w:p>
    <w:p w14:paraId="4897FE03" w14:textId="77777777" w:rsidR="003347F3" w:rsidRDefault="003347F3" w:rsidP="00585293">
      <w:pPr>
        <w:shd w:val="clear" w:color="auto" w:fill="FFFFFF"/>
        <w:spacing w:before="100" w:beforeAutospacing="1" w:after="100" w:afterAutospacing="1"/>
        <w:ind w:firstLine="0"/>
        <w:rPr>
          <w:rFonts w:ascii="Roboto" w:hAnsi="Roboto"/>
          <w:color w:val="2D3B45"/>
        </w:rPr>
      </w:pPr>
    </w:p>
    <w:p w14:paraId="7E5AF7F9" w14:textId="1CB0038C" w:rsidR="006E17D5" w:rsidRPr="00F95C67" w:rsidRDefault="006E17D5" w:rsidP="00585293">
      <w:pPr>
        <w:shd w:val="clear" w:color="auto" w:fill="FFFFFF"/>
        <w:spacing w:before="100" w:beforeAutospacing="1" w:after="100" w:afterAutospacing="1"/>
        <w:ind w:firstLine="0"/>
      </w:pPr>
      <w:r>
        <w:rPr>
          <w:rFonts w:ascii="Roboto" w:hAnsi="Roboto"/>
          <w:color w:val="2D3B45"/>
        </w:rPr>
        <w:tab/>
      </w:r>
      <w:r w:rsidRPr="00F95C67">
        <w:t xml:space="preserve">One aspect of cloud migration, a hidden cost or potential savings opportunity, is how the migration will be organized.  </w:t>
      </w:r>
      <w:r w:rsidR="00585293" w:rsidRPr="00F95C67">
        <w:t>In the case of the AEE cloud migration decision making process, w</w:t>
      </w:r>
      <w:r w:rsidRPr="00F95C67">
        <w:t>ould they use a top-down view of the migration process, or would they use the bottom</w:t>
      </w:r>
      <w:r w:rsidR="00120933" w:rsidRPr="00F95C67">
        <w:t>-</w:t>
      </w:r>
      <w:r w:rsidRPr="00F95C67">
        <w:t xml:space="preserve">up approach, potentially missing out on organizational financial savings </w:t>
      </w:r>
      <w:bookmarkStart w:id="1" w:name="_Hlk52098473"/>
      <w:r w:rsidRPr="00F95C67">
        <w:t>(</w:t>
      </w:r>
      <w:proofErr w:type="spellStart"/>
      <w:r w:rsidRPr="00F95C67">
        <w:t>Bignell</w:t>
      </w:r>
      <w:proofErr w:type="spellEnd"/>
      <w:r w:rsidRPr="00F95C67">
        <w:t>, 2017)</w:t>
      </w:r>
      <w:bookmarkEnd w:id="1"/>
      <w:r w:rsidRPr="00F95C67">
        <w:t xml:space="preserve">?  </w:t>
      </w:r>
      <w:r w:rsidR="00120933" w:rsidRPr="00F95C67">
        <w:t>A top-down approach would allow for redundancies to be mitigated, possibly combining resource use amongst several organizational units within the main organization.  A bottom-up approach</w:t>
      </w:r>
      <w:r w:rsidR="00585293" w:rsidRPr="00F95C67">
        <w:t xml:space="preserve">, where lower level organizational units each managed their own migration, could produce redundancies of effort, thus diminishing the </w:t>
      </w:r>
      <w:r w:rsidR="003347F3" w:rsidRPr="00F95C67">
        <w:t xml:space="preserve">positive </w:t>
      </w:r>
      <w:r w:rsidR="00585293" w:rsidRPr="00F95C67">
        <w:t>economic impact of migration.</w:t>
      </w:r>
    </w:p>
    <w:p w14:paraId="5BA78EC6" w14:textId="1DF10907" w:rsidR="00EC56AB" w:rsidRPr="00F95C67" w:rsidRDefault="00EC56AB" w:rsidP="00585293">
      <w:pPr>
        <w:shd w:val="clear" w:color="auto" w:fill="FFFFFF"/>
        <w:spacing w:before="100" w:beforeAutospacing="1" w:after="100" w:afterAutospacing="1"/>
        <w:ind w:firstLine="0"/>
      </w:pPr>
      <w:r w:rsidRPr="00F95C67">
        <w:tab/>
        <w:t>Not taking this aspect into consideration can also lead to missed opportunities to transform methodologies and prevent the possibility of needing more than one technology management team; one for the cloud and one for legacy</w:t>
      </w:r>
      <w:r w:rsidR="002B691A" w:rsidRPr="00F95C67">
        <w:t xml:space="preserve"> applications and infrastructure </w:t>
      </w:r>
      <w:r w:rsidR="002B691A" w:rsidRPr="00F95C67">
        <w:t>(</w:t>
      </w:r>
      <w:proofErr w:type="spellStart"/>
      <w:r w:rsidR="002B691A" w:rsidRPr="00F95C67">
        <w:t>Bignell</w:t>
      </w:r>
      <w:proofErr w:type="spellEnd"/>
      <w:r w:rsidR="002B691A" w:rsidRPr="00F95C67">
        <w:t>, 2017)</w:t>
      </w:r>
      <w:r w:rsidR="002B691A" w:rsidRPr="00F95C67">
        <w:t>.</w:t>
      </w:r>
      <w:r w:rsidR="00F301E7" w:rsidRPr="00F95C67">
        <w:t xml:space="preserve">  It can also delay the completion of the migration, causing economic savings to be delayed as a result.</w:t>
      </w:r>
    </w:p>
    <w:p w14:paraId="63297B16" w14:textId="77777777" w:rsidR="00D96DF6" w:rsidRPr="00F95C67" w:rsidRDefault="00F301E7" w:rsidP="00585293">
      <w:pPr>
        <w:shd w:val="clear" w:color="auto" w:fill="FFFFFF"/>
        <w:spacing w:before="100" w:beforeAutospacing="1" w:after="100" w:afterAutospacing="1"/>
        <w:ind w:firstLine="0"/>
      </w:pPr>
      <w:r w:rsidRPr="00F95C67">
        <w:tab/>
        <w:t>Overall</w:t>
      </w:r>
      <w:r w:rsidR="00D813BA" w:rsidRPr="00F95C67">
        <w:t xml:space="preserve">, in the case of AEE, the migration seems to be successful.  The IBM Institute for Business Value </w:t>
      </w:r>
      <w:r w:rsidR="006D4FEE" w:rsidRPr="00F95C67">
        <w:t xml:space="preserve">uses several Key Performance Indicators (KPI’s) to measure success and AEE has achieved success in the two most important; </w:t>
      </w:r>
    </w:p>
    <w:p w14:paraId="23F29EC3" w14:textId="316CB524" w:rsidR="00D96DF6" w:rsidRPr="00F95C67" w:rsidRDefault="00D96DF6" w:rsidP="00D96DF6">
      <w:pPr>
        <w:pStyle w:val="ListParagraph"/>
        <w:numPr>
          <w:ilvl w:val="0"/>
          <w:numId w:val="20"/>
        </w:numPr>
        <w:shd w:val="clear" w:color="auto" w:fill="FFFFFF"/>
        <w:spacing w:before="100" w:beforeAutospacing="1" w:after="100" w:afterAutospacing="1"/>
      </w:pPr>
      <w:r w:rsidRPr="00F95C67">
        <w:t>I</w:t>
      </w:r>
      <w:r w:rsidR="006D4FEE" w:rsidRPr="00F95C67">
        <w:t>ncrease in revenue margin</w:t>
      </w:r>
      <w:r w:rsidRPr="00F95C67">
        <w:t xml:space="preserve">, </w:t>
      </w:r>
      <w:r w:rsidR="006D4FEE" w:rsidRPr="00F95C67">
        <w:t xml:space="preserve">and </w:t>
      </w:r>
    </w:p>
    <w:p w14:paraId="42F40252" w14:textId="1E27BEF1" w:rsidR="00F301E7" w:rsidRPr="00F95C67" w:rsidRDefault="006D4FEE" w:rsidP="00D96DF6">
      <w:pPr>
        <w:pStyle w:val="ListParagraph"/>
        <w:numPr>
          <w:ilvl w:val="0"/>
          <w:numId w:val="20"/>
        </w:numPr>
        <w:shd w:val="clear" w:color="auto" w:fill="FFFFFF"/>
        <w:spacing w:before="100" w:beforeAutospacing="1" w:after="100" w:afterAutospacing="1"/>
      </w:pPr>
      <w:r w:rsidRPr="00F95C67">
        <w:t xml:space="preserve">Rate of change in reduction of total cost of ownership (TCO) </w:t>
      </w:r>
      <w:r w:rsidRPr="00F95C67">
        <w:t>(</w:t>
      </w:r>
      <w:proofErr w:type="spellStart"/>
      <w:r w:rsidRPr="00F95C67">
        <w:t>Kesterson</w:t>
      </w:r>
      <w:proofErr w:type="spellEnd"/>
      <w:r w:rsidRPr="00F95C67">
        <w:t>-Townes, 2017)</w:t>
      </w:r>
      <w:r w:rsidRPr="00F95C67">
        <w:t>.</w:t>
      </w:r>
    </w:p>
    <w:p w14:paraId="3E2B4CA2" w14:textId="0EAC3ACB" w:rsidR="00D96DF6" w:rsidRPr="00F95C67" w:rsidRDefault="00D96DF6" w:rsidP="00CD1BAC">
      <w:pPr>
        <w:shd w:val="clear" w:color="auto" w:fill="FFFFFF"/>
        <w:spacing w:before="100" w:beforeAutospacing="1" w:after="100" w:afterAutospacing="1"/>
        <w:ind w:left="360" w:firstLine="360"/>
      </w:pPr>
      <w:r w:rsidRPr="00F95C67">
        <w:lastRenderedPageBreak/>
        <w:t>They rightly chose the best of both worlds for their decision</w:t>
      </w:r>
      <w:r w:rsidR="00042D1C" w:rsidRPr="00F95C67">
        <w:t xml:space="preserve"> out of the three options they considered</w:t>
      </w:r>
      <w:r w:rsidRPr="00F95C67">
        <w:t xml:space="preserve">.  They </w:t>
      </w:r>
      <w:r w:rsidR="00042D1C" w:rsidRPr="00F95C67">
        <w:t>chose</w:t>
      </w:r>
      <w:r w:rsidRPr="00F95C67">
        <w:t xml:space="preserve"> the lowest</w:t>
      </w:r>
      <w:r w:rsidR="00CD1BAC" w:rsidRPr="00F95C67">
        <w:t xml:space="preserve"> </w:t>
      </w:r>
      <w:r w:rsidRPr="00F95C67">
        <w:t>overall cost</w:t>
      </w:r>
      <w:r w:rsidR="00CD1BAC" w:rsidRPr="00F95C67">
        <w:t xml:space="preserve"> option while remaining agile and adaptive of the trending technology path.  At the same time, they also saved costs </w:t>
      </w:r>
      <w:r w:rsidR="00E121B3" w:rsidRPr="00F95C67">
        <w:t xml:space="preserve">on migration </w:t>
      </w:r>
      <w:r w:rsidR="00CD1BAC" w:rsidRPr="00F95C67">
        <w:t xml:space="preserve">by keeping some of their invested technology (namely three servers that were essential to remain onsite and interact with their specialized technology) and practices to minimize the ongoing costs of cloud computing.  Though they did enter a brief period where they were vulnerable to technology failure without warranty, they were lucky enough not to have such a </w:t>
      </w:r>
      <w:r w:rsidR="00574278" w:rsidRPr="00F95C67">
        <w:t>failure and</w:t>
      </w:r>
      <w:r w:rsidR="00CD1BAC" w:rsidRPr="00F95C67">
        <w:t xml:space="preserve"> took a valuable lesson from the experience to commit to earlier planning of their next upgrade project.</w:t>
      </w:r>
      <w:bookmarkStart w:id="2" w:name="_GoBack"/>
      <w:bookmarkEnd w:id="2"/>
    </w:p>
    <w:p w14:paraId="17C92283" w14:textId="548035B8" w:rsidR="00FF0160" w:rsidRPr="00F95C67" w:rsidRDefault="00042D1C" w:rsidP="00FF0160">
      <w:pPr>
        <w:shd w:val="clear" w:color="auto" w:fill="FFFFFF"/>
        <w:spacing w:before="100" w:beforeAutospacing="1" w:after="100" w:afterAutospacing="1"/>
        <w:ind w:left="360" w:firstLine="360"/>
      </w:pPr>
      <w:r w:rsidRPr="00F95C67">
        <w:t xml:space="preserve">As stated, AEE wound up keeping </w:t>
      </w:r>
      <w:r w:rsidR="00E121B3" w:rsidRPr="00F95C67">
        <w:t xml:space="preserve">three servers for their specialized technology.  One unconsidered aspect that may have helped with their ROI is the possible use of one or more Application Service Providers (ASP’s) </w:t>
      </w:r>
      <w:r w:rsidRPr="00F95C67">
        <w:t xml:space="preserve">(Kale, 2019, pp. </w:t>
      </w:r>
      <w:r w:rsidR="00E121B3" w:rsidRPr="00F95C67">
        <w:t>229</w:t>
      </w:r>
      <w:r w:rsidRPr="00F95C67">
        <w:t>–</w:t>
      </w:r>
      <w:r w:rsidR="00E121B3" w:rsidRPr="00F95C67">
        <w:t>240</w:t>
      </w:r>
      <w:r w:rsidRPr="00F95C67">
        <w:t>)</w:t>
      </w:r>
      <w:r w:rsidR="00E121B3" w:rsidRPr="00F95C67">
        <w:t xml:space="preserve">.  Since their technology was so specialized, to the point of requiring onsite connections to the servers, they might have considered an ASP to design specialized software for the tech, so that the servers could be hosted in the cloud as well, thereby completely eliminating their TCO.  With such an ASP, onsite maintenance costs would </w:t>
      </w:r>
      <w:r w:rsidR="00FF0160" w:rsidRPr="00F95C67">
        <w:t xml:space="preserve">be </w:t>
      </w:r>
      <w:r w:rsidR="00E121B3" w:rsidRPr="00F95C67">
        <w:t xml:space="preserve">completely or nearly </w:t>
      </w:r>
      <w:proofErr w:type="gramStart"/>
      <w:r w:rsidR="00E121B3" w:rsidRPr="00F95C67">
        <w:t>completely eliminated</w:t>
      </w:r>
      <w:proofErr w:type="gramEnd"/>
      <w:r w:rsidR="00E121B3" w:rsidRPr="00F95C67">
        <w:t xml:space="preserve">.  They could also have </w:t>
      </w:r>
      <w:r w:rsidR="00FF0160" w:rsidRPr="00F95C67">
        <w:t>liquidated</w:t>
      </w:r>
      <w:r w:rsidR="00E121B3" w:rsidRPr="00F95C67">
        <w:t xml:space="preserve"> the last of the physical technology they owned, downsized or re</w:t>
      </w:r>
      <w:r w:rsidR="00FF0160" w:rsidRPr="00F95C67">
        <w:t>assigned</w:t>
      </w:r>
      <w:r w:rsidR="00E121B3" w:rsidRPr="00F95C67">
        <w:t xml:space="preserve"> IT staff, and repurposed the physical space the onsite tech was occupying</w:t>
      </w:r>
      <w:r w:rsidR="00FF0160" w:rsidRPr="00F95C67">
        <w:t>, thereby accelerating their ROI with the financial savings</w:t>
      </w:r>
      <w:r w:rsidR="00E121B3" w:rsidRPr="00F95C67">
        <w:t>.</w:t>
      </w:r>
    </w:p>
    <w:p w14:paraId="0E4161F4" w14:textId="020B4E53" w:rsidR="00FF0160" w:rsidRDefault="00FF0160" w:rsidP="00FF0160">
      <w:pPr>
        <w:shd w:val="clear" w:color="auto" w:fill="FFFFFF"/>
        <w:spacing w:before="100" w:beforeAutospacing="1" w:after="100" w:afterAutospacing="1"/>
        <w:ind w:left="360" w:firstLine="360"/>
      </w:pPr>
    </w:p>
    <w:p w14:paraId="06C87403" w14:textId="77777777" w:rsidR="00E628C0" w:rsidRPr="00FF0160" w:rsidRDefault="00E628C0" w:rsidP="00FF0160">
      <w:pPr>
        <w:shd w:val="clear" w:color="auto" w:fill="FFFFFF"/>
        <w:spacing w:before="100" w:beforeAutospacing="1" w:after="100" w:afterAutospacing="1"/>
        <w:ind w:left="360" w:firstLine="360"/>
      </w:pPr>
    </w:p>
    <w:p w14:paraId="50416291" w14:textId="660EFCB6" w:rsidR="00A378AC" w:rsidRPr="00585293" w:rsidRDefault="00A378AC" w:rsidP="00D8258E">
      <w:pPr>
        <w:pStyle w:val="NormalWeb"/>
        <w:spacing w:line="480" w:lineRule="auto"/>
        <w:ind w:left="720" w:hanging="720"/>
        <w:jc w:val="center"/>
      </w:pPr>
      <w:r w:rsidRPr="00585293">
        <w:lastRenderedPageBreak/>
        <w:t>References</w:t>
      </w:r>
    </w:p>
    <w:p w14:paraId="532C4B44" w14:textId="62578795" w:rsidR="006E17D5" w:rsidRDefault="006E17D5" w:rsidP="006E17D5">
      <w:pPr>
        <w:pStyle w:val="NormalWeb"/>
        <w:spacing w:line="480" w:lineRule="auto"/>
        <w:ind w:left="720" w:hanging="720"/>
      </w:pPr>
      <w:proofErr w:type="spellStart"/>
      <w:r w:rsidRPr="00585293">
        <w:t>Bignell</w:t>
      </w:r>
      <w:proofErr w:type="spellEnd"/>
      <w:r w:rsidRPr="00585293">
        <w:t xml:space="preserve">, D. (2017, July 19). </w:t>
      </w:r>
      <w:r w:rsidRPr="00585293">
        <w:rPr>
          <w:i/>
          <w:iCs/>
        </w:rPr>
        <w:t>6 hidden costs to cloud and how to beat them</w:t>
      </w:r>
      <w:r w:rsidRPr="00585293">
        <w:t xml:space="preserve">. Orange Business Services. </w:t>
      </w:r>
      <w:hyperlink r:id="rId7" w:history="1">
        <w:r w:rsidR="006D4FEE" w:rsidRPr="002729DF">
          <w:rPr>
            <w:rStyle w:val="Hyperlink"/>
          </w:rPr>
          <w:t>https://www.orange-business.com/en/blogs/connecting-technology/cloud-data-center/6-hidden-costs-to-cloud-and-how-to-beat-them</w:t>
        </w:r>
      </w:hyperlink>
    </w:p>
    <w:p w14:paraId="6A076EB3" w14:textId="00908BAA" w:rsidR="0049306E" w:rsidRDefault="006D4FEE" w:rsidP="00E50F81">
      <w:pPr>
        <w:pStyle w:val="NormalWeb"/>
        <w:spacing w:line="480" w:lineRule="auto"/>
        <w:ind w:left="720" w:hanging="720"/>
      </w:pPr>
      <w:proofErr w:type="spellStart"/>
      <w:r>
        <w:t>Kesterson</w:t>
      </w:r>
      <w:proofErr w:type="spellEnd"/>
      <w:r>
        <w:t xml:space="preserve">-Townes, L. (2017, March 17). </w:t>
      </w:r>
      <w:r>
        <w:rPr>
          <w:i/>
          <w:iCs/>
        </w:rPr>
        <w:t>How Organizations Are Measuring Cloud Success</w:t>
      </w:r>
      <w:r>
        <w:t xml:space="preserve">. Archive of the IBM Cloud Blog. </w:t>
      </w:r>
      <w:hyperlink r:id="rId8" w:history="1">
        <w:r w:rsidR="00E50F81" w:rsidRPr="002729DF">
          <w:rPr>
            <w:rStyle w:val="Hyperlink"/>
          </w:rPr>
          <w:t>https://www.ibm.com/blogs/cloud-archive/2017/03/how-organizations-are-measuring-cloud-success/</w:t>
        </w:r>
      </w:hyperlink>
    </w:p>
    <w:p w14:paraId="4085B1E4" w14:textId="77777777" w:rsidR="00042D1C" w:rsidRDefault="00042D1C" w:rsidP="00042D1C">
      <w:pPr>
        <w:pStyle w:val="NormalWeb"/>
        <w:spacing w:line="480" w:lineRule="auto"/>
        <w:ind w:left="720" w:hanging="720"/>
      </w:pPr>
      <w:r>
        <w:t xml:space="preserve">Kale, V. (2019). </w:t>
      </w:r>
      <w:r>
        <w:rPr>
          <w:i/>
          <w:iCs/>
        </w:rPr>
        <w:t xml:space="preserve">Guide to Cloud Computing for Business and Technology Managers: From Distributed Computing to </w:t>
      </w:r>
      <w:proofErr w:type="spellStart"/>
      <w:r>
        <w:rPr>
          <w:i/>
          <w:iCs/>
        </w:rPr>
        <w:t>Cloudware</w:t>
      </w:r>
      <w:proofErr w:type="spellEnd"/>
      <w:r>
        <w:rPr>
          <w:i/>
          <w:iCs/>
        </w:rPr>
        <w:t xml:space="preserve"> Applications</w:t>
      </w:r>
      <w:r>
        <w:t xml:space="preserve"> (1st ed.). Chapman and Hall/CRC.</w:t>
      </w:r>
    </w:p>
    <w:p w14:paraId="19899505" w14:textId="77777777" w:rsidR="00E50F81" w:rsidRDefault="00E50F81" w:rsidP="00E50F81">
      <w:pPr>
        <w:pStyle w:val="NormalWeb"/>
        <w:spacing w:line="480" w:lineRule="auto"/>
        <w:ind w:left="720" w:hanging="720"/>
      </w:pPr>
    </w:p>
    <w:sectPr w:rsidR="00E50F81" w:rsidSect="003A35EF">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67F00" w14:textId="77777777" w:rsidR="00C93B61" w:rsidRDefault="00C93B61">
      <w:pPr>
        <w:spacing w:line="240" w:lineRule="auto"/>
      </w:pPr>
      <w:r>
        <w:separator/>
      </w:r>
    </w:p>
  </w:endnote>
  <w:endnote w:type="continuationSeparator" w:id="0">
    <w:p w14:paraId="7565C290" w14:textId="77777777" w:rsidR="00C93B61" w:rsidRDefault="00C93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AED3D" w14:textId="77777777" w:rsidR="00C93B61" w:rsidRDefault="00C93B61">
      <w:pPr>
        <w:spacing w:line="240" w:lineRule="auto"/>
      </w:pPr>
      <w:r>
        <w:separator/>
      </w:r>
    </w:p>
  </w:footnote>
  <w:footnote w:type="continuationSeparator" w:id="0">
    <w:p w14:paraId="54077526" w14:textId="77777777" w:rsidR="00C93B61" w:rsidRDefault="00C93B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201C7" w14:textId="6F89FE12"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FF54D9">
      <w:rPr>
        <w:rStyle w:val="PageNumber"/>
        <w:noProof/>
      </w:rPr>
      <w:t>3</w:t>
    </w:r>
    <w:r>
      <w:rPr>
        <w:rStyle w:val="PageNumber"/>
      </w:rPr>
      <w:fldChar w:fldCharType="end"/>
    </w:r>
  </w:p>
  <w:p w14:paraId="11BB0431" w14:textId="581B112C"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85C9" w14:textId="20FF24C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F203B0">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A52D7"/>
    <w:multiLevelType w:val="multilevel"/>
    <w:tmpl w:val="86E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833D4"/>
    <w:multiLevelType w:val="hybridMultilevel"/>
    <w:tmpl w:val="F898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5685A"/>
    <w:multiLevelType w:val="hybridMultilevel"/>
    <w:tmpl w:val="023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86F92"/>
    <w:multiLevelType w:val="hybridMultilevel"/>
    <w:tmpl w:val="12FA40F2"/>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9"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4BA"/>
    <w:multiLevelType w:val="hybridMultilevel"/>
    <w:tmpl w:val="5E3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353AD"/>
    <w:multiLevelType w:val="multilevel"/>
    <w:tmpl w:val="C5C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161C4"/>
    <w:multiLevelType w:val="multilevel"/>
    <w:tmpl w:val="BE0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8"/>
  </w:num>
  <w:num w:numId="3">
    <w:abstractNumId w:val="0"/>
  </w:num>
  <w:num w:numId="4">
    <w:abstractNumId w:val="4"/>
  </w:num>
  <w:num w:numId="5">
    <w:abstractNumId w:val="16"/>
  </w:num>
  <w:num w:numId="6">
    <w:abstractNumId w:val="15"/>
  </w:num>
  <w:num w:numId="7">
    <w:abstractNumId w:val="7"/>
  </w:num>
  <w:num w:numId="8">
    <w:abstractNumId w:val="13"/>
  </w:num>
  <w:num w:numId="9">
    <w:abstractNumId w:val="11"/>
  </w:num>
  <w:num w:numId="10">
    <w:abstractNumId w:val="5"/>
  </w:num>
  <w:num w:numId="11">
    <w:abstractNumId w:val="17"/>
  </w:num>
  <w:num w:numId="12">
    <w:abstractNumId w:val="19"/>
  </w:num>
  <w:num w:numId="13">
    <w:abstractNumId w:val="6"/>
  </w:num>
  <w:num w:numId="14">
    <w:abstractNumId w:val="14"/>
  </w:num>
  <w:num w:numId="15">
    <w:abstractNumId w:val="8"/>
  </w:num>
  <w:num w:numId="16">
    <w:abstractNumId w:val="3"/>
  </w:num>
  <w:num w:numId="17">
    <w:abstractNumId w:val="12"/>
  </w:num>
  <w:num w:numId="18">
    <w:abstractNumId w:val="1"/>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0BC8"/>
    <w:rsid w:val="000031A5"/>
    <w:rsid w:val="00005DBB"/>
    <w:rsid w:val="00006E22"/>
    <w:rsid w:val="0000793A"/>
    <w:rsid w:val="000102EC"/>
    <w:rsid w:val="00015FF1"/>
    <w:rsid w:val="000166D3"/>
    <w:rsid w:val="00016864"/>
    <w:rsid w:val="00022CC9"/>
    <w:rsid w:val="00032D49"/>
    <w:rsid w:val="000369F7"/>
    <w:rsid w:val="00042D1C"/>
    <w:rsid w:val="000456DD"/>
    <w:rsid w:val="00050985"/>
    <w:rsid w:val="00057B41"/>
    <w:rsid w:val="000745C2"/>
    <w:rsid w:val="000763FC"/>
    <w:rsid w:val="00076DD2"/>
    <w:rsid w:val="0008673F"/>
    <w:rsid w:val="0008780D"/>
    <w:rsid w:val="00090B7D"/>
    <w:rsid w:val="00095D87"/>
    <w:rsid w:val="000A2DD8"/>
    <w:rsid w:val="000B0858"/>
    <w:rsid w:val="000B0A32"/>
    <w:rsid w:val="000B597C"/>
    <w:rsid w:val="000D4D49"/>
    <w:rsid w:val="000F0DEC"/>
    <w:rsid w:val="0010667D"/>
    <w:rsid w:val="00113B30"/>
    <w:rsid w:val="001154FC"/>
    <w:rsid w:val="00120933"/>
    <w:rsid w:val="00125E2E"/>
    <w:rsid w:val="0013324C"/>
    <w:rsid w:val="00135D0B"/>
    <w:rsid w:val="00137FC3"/>
    <w:rsid w:val="0014080F"/>
    <w:rsid w:val="00146659"/>
    <w:rsid w:val="00153415"/>
    <w:rsid w:val="001572C4"/>
    <w:rsid w:val="00157F6D"/>
    <w:rsid w:val="001953E0"/>
    <w:rsid w:val="00195C8F"/>
    <w:rsid w:val="001A0A79"/>
    <w:rsid w:val="001A297B"/>
    <w:rsid w:val="001A3F6B"/>
    <w:rsid w:val="001B502E"/>
    <w:rsid w:val="001C3CE4"/>
    <w:rsid w:val="001D09BC"/>
    <w:rsid w:val="001D4C12"/>
    <w:rsid w:val="001F19E4"/>
    <w:rsid w:val="001F3313"/>
    <w:rsid w:val="0020104C"/>
    <w:rsid w:val="00206BCF"/>
    <w:rsid w:val="002117D9"/>
    <w:rsid w:val="00220676"/>
    <w:rsid w:val="002235C0"/>
    <w:rsid w:val="00242707"/>
    <w:rsid w:val="0027755C"/>
    <w:rsid w:val="00277911"/>
    <w:rsid w:val="00277DB1"/>
    <w:rsid w:val="002A2A03"/>
    <w:rsid w:val="002A401F"/>
    <w:rsid w:val="002B197B"/>
    <w:rsid w:val="002B5B0B"/>
    <w:rsid w:val="002B691A"/>
    <w:rsid w:val="002C1A8A"/>
    <w:rsid w:val="002E2048"/>
    <w:rsid w:val="002E50C4"/>
    <w:rsid w:val="002F2B25"/>
    <w:rsid w:val="002F3A85"/>
    <w:rsid w:val="002F6B10"/>
    <w:rsid w:val="003076D4"/>
    <w:rsid w:val="00313705"/>
    <w:rsid w:val="00333BAF"/>
    <w:rsid w:val="003347F3"/>
    <w:rsid w:val="003410C3"/>
    <w:rsid w:val="00344B7C"/>
    <w:rsid w:val="00345E06"/>
    <w:rsid w:val="003537CC"/>
    <w:rsid w:val="00357F49"/>
    <w:rsid w:val="00362B25"/>
    <w:rsid w:val="00370139"/>
    <w:rsid w:val="00372DB6"/>
    <w:rsid w:val="00374048"/>
    <w:rsid w:val="00376DC7"/>
    <w:rsid w:val="003835BF"/>
    <w:rsid w:val="003875F7"/>
    <w:rsid w:val="00394FB6"/>
    <w:rsid w:val="003A2CE6"/>
    <w:rsid w:val="003A35EF"/>
    <w:rsid w:val="003A74E6"/>
    <w:rsid w:val="003B7672"/>
    <w:rsid w:val="003C176F"/>
    <w:rsid w:val="003C27A5"/>
    <w:rsid w:val="003C4A2E"/>
    <w:rsid w:val="003E2A21"/>
    <w:rsid w:val="003E5524"/>
    <w:rsid w:val="003F072C"/>
    <w:rsid w:val="003F6187"/>
    <w:rsid w:val="003F75E7"/>
    <w:rsid w:val="0041119D"/>
    <w:rsid w:val="004116FF"/>
    <w:rsid w:val="004269A6"/>
    <w:rsid w:val="0043395E"/>
    <w:rsid w:val="004427D8"/>
    <w:rsid w:val="00447773"/>
    <w:rsid w:val="0045164E"/>
    <w:rsid w:val="00466864"/>
    <w:rsid w:val="0046750B"/>
    <w:rsid w:val="004701E1"/>
    <w:rsid w:val="00470C0F"/>
    <w:rsid w:val="00483E7A"/>
    <w:rsid w:val="00492964"/>
    <w:rsid w:val="0049306E"/>
    <w:rsid w:val="004A5E67"/>
    <w:rsid w:val="004A7433"/>
    <w:rsid w:val="004A7CF0"/>
    <w:rsid w:val="004B04CA"/>
    <w:rsid w:val="004C3F5A"/>
    <w:rsid w:val="004D03B6"/>
    <w:rsid w:val="004D09D3"/>
    <w:rsid w:val="004F0025"/>
    <w:rsid w:val="00502509"/>
    <w:rsid w:val="00524A46"/>
    <w:rsid w:val="005369FE"/>
    <w:rsid w:val="005567BB"/>
    <w:rsid w:val="00574278"/>
    <w:rsid w:val="00585293"/>
    <w:rsid w:val="00596EE2"/>
    <w:rsid w:val="0059783E"/>
    <w:rsid w:val="005A015C"/>
    <w:rsid w:val="005A0316"/>
    <w:rsid w:val="005A4997"/>
    <w:rsid w:val="005B124E"/>
    <w:rsid w:val="005C04A0"/>
    <w:rsid w:val="005C2A69"/>
    <w:rsid w:val="005D44D6"/>
    <w:rsid w:val="005E2B16"/>
    <w:rsid w:val="006070FE"/>
    <w:rsid w:val="0061553C"/>
    <w:rsid w:val="00626B8B"/>
    <w:rsid w:val="006418DE"/>
    <w:rsid w:val="00647C02"/>
    <w:rsid w:val="00647F4F"/>
    <w:rsid w:val="006515B0"/>
    <w:rsid w:val="0065520B"/>
    <w:rsid w:val="006731D2"/>
    <w:rsid w:val="00687405"/>
    <w:rsid w:val="006912EF"/>
    <w:rsid w:val="006962C7"/>
    <w:rsid w:val="006A2F99"/>
    <w:rsid w:val="006B3C4A"/>
    <w:rsid w:val="006C1718"/>
    <w:rsid w:val="006D4FEE"/>
    <w:rsid w:val="006E17D5"/>
    <w:rsid w:val="006E33E6"/>
    <w:rsid w:val="006E5ED4"/>
    <w:rsid w:val="006F7780"/>
    <w:rsid w:val="007041B9"/>
    <w:rsid w:val="00711FFA"/>
    <w:rsid w:val="00721813"/>
    <w:rsid w:val="00724DD7"/>
    <w:rsid w:val="00725141"/>
    <w:rsid w:val="00727F23"/>
    <w:rsid w:val="007308F3"/>
    <w:rsid w:val="00733701"/>
    <w:rsid w:val="007366A2"/>
    <w:rsid w:val="007457DC"/>
    <w:rsid w:val="0075183D"/>
    <w:rsid w:val="00756543"/>
    <w:rsid w:val="007741A6"/>
    <w:rsid w:val="007758B4"/>
    <w:rsid w:val="00776A95"/>
    <w:rsid w:val="007860EC"/>
    <w:rsid w:val="00797A93"/>
    <w:rsid w:val="007B43B5"/>
    <w:rsid w:val="007B4702"/>
    <w:rsid w:val="007B7CF1"/>
    <w:rsid w:val="007C1779"/>
    <w:rsid w:val="007E59DE"/>
    <w:rsid w:val="007F683B"/>
    <w:rsid w:val="00801926"/>
    <w:rsid w:val="008074F7"/>
    <w:rsid w:val="00824000"/>
    <w:rsid w:val="00826863"/>
    <w:rsid w:val="00831864"/>
    <w:rsid w:val="00831FE1"/>
    <w:rsid w:val="00835D42"/>
    <w:rsid w:val="00840C65"/>
    <w:rsid w:val="00855022"/>
    <w:rsid w:val="00872CCC"/>
    <w:rsid w:val="00873DD3"/>
    <w:rsid w:val="0087692A"/>
    <w:rsid w:val="00884CCC"/>
    <w:rsid w:val="00886B00"/>
    <w:rsid w:val="0089398B"/>
    <w:rsid w:val="00896466"/>
    <w:rsid w:val="008A146D"/>
    <w:rsid w:val="008B3FA0"/>
    <w:rsid w:val="008C3FF2"/>
    <w:rsid w:val="008C4045"/>
    <w:rsid w:val="008C54A1"/>
    <w:rsid w:val="008C5C04"/>
    <w:rsid w:val="008C7CB3"/>
    <w:rsid w:val="008D017D"/>
    <w:rsid w:val="008D69F8"/>
    <w:rsid w:val="008E2BB6"/>
    <w:rsid w:val="008F4A0C"/>
    <w:rsid w:val="00902465"/>
    <w:rsid w:val="00905931"/>
    <w:rsid w:val="009109A2"/>
    <w:rsid w:val="00913C89"/>
    <w:rsid w:val="009200BB"/>
    <w:rsid w:val="0093080E"/>
    <w:rsid w:val="00933FB8"/>
    <w:rsid w:val="00941ED0"/>
    <w:rsid w:val="0095599D"/>
    <w:rsid w:val="0097130B"/>
    <w:rsid w:val="0098218A"/>
    <w:rsid w:val="009946DF"/>
    <w:rsid w:val="009A23E8"/>
    <w:rsid w:val="009B17D4"/>
    <w:rsid w:val="009D0507"/>
    <w:rsid w:val="009D2C1F"/>
    <w:rsid w:val="009D4967"/>
    <w:rsid w:val="009D567D"/>
    <w:rsid w:val="009E4D6F"/>
    <w:rsid w:val="009E7857"/>
    <w:rsid w:val="009F10CC"/>
    <w:rsid w:val="009F48B9"/>
    <w:rsid w:val="00A0689D"/>
    <w:rsid w:val="00A22BAF"/>
    <w:rsid w:val="00A239E4"/>
    <w:rsid w:val="00A32F2B"/>
    <w:rsid w:val="00A378AC"/>
    <w:rsid w:val="00A45CC3"/>
    <w:rsid w:val="00A536DB"/>
    <w:rsid w:val="00A56F76"/>
    <w:rsid w:val="00A726A2"/>
    <w:rsid w:val="00A75BE5"/>
    <w:rsid w:val="00A83B66"/>
    <w:rsid w:val="00A86721"/>
    <w:rsid w:val="00AA1E32"/>
    <w:rsid w:val="00AA49B7"/>
    <w:rsid w:val="00AA7CA1"/>
    <w:rsid w:val="00AD49E4"/>
    <w:rsid w:val="00AE67EB"/>
    <w:rsid w:val="00AF6437"/>
    <w:rsid w:val="00B03486"/>
    <w:rsid w:val="00B232D3"/>
    <w:rsid w:val="00B27AC2"/>
    <w:rsid w:val="00B325C6"/>
    <w:rsid w:val="00B34DAD"/>
    <w:rsid w:val="00B35208"/>
    <w:rsid w:val="00B51E51"/>
    <w:rsid w:val="00B55A2F"/>
    <w:rsid w:val="00B60C90"/>
    <w:rsid w:val="00B718EF"/>
    <w:rsid w:val="00B74F60"/>
    <w:rsid w:val="00B761D2"/>
    <w:rsid w:val="00B83FB1"/>
    <w:rsid w:val="00BB1E31"/>
    <w:rsid w:val="00BD0C73"/>
    <w:rsid w:val="00BE26E8"/>
    <w:rsid w:val="00C11EDB"/>
    <w:rsid w:val="00C3115E"/>
    <w:rsid w:val="00C57D79"/>
    <w:rsid w:val="00C655DA"/>
    <w:rsid w:val="00C67138"/>
    <w:rsid w:val="00C67E2D"/>
    <w:rsid w:val="00C878F2"/>
    <w:rsid w:val="00C9233B"/>
    <w:rsid w:val="00C93B61"/>
    <w:rsid w:val="00C95576"/>
    <w:rsid w:val="00CB7A52"/>
    <w:rsid w:val="00CC2F63"/>
    <w:rsid w:val="00CC3A1C"/>
    <w:rsid w:val="00CC7389"/>
    <w:rsid w:val="00CD076E"/>
    <w:rsid w:val="00CD0E65"/>
    <w:rsid w:val="00CD1BAC"/>
    <w:rsid w:val="00CF1EB2"/>
    <w:rsid w:val="00CF29F0"/>
    <w:rsid w:val="00CF471A"/>
    <w:rsid w:val="00CF4B73"/>
    <w:rsid w:val="00D0409F"/>
    <w:rsid w:val="00D046D9"/>
    <w:rsid w:val="00D0562D"/>
    <w:rsid w:val="00D24452"/>
    <w:rsid w:val="00D25967"/>
    <w:rsid w:val="00D359FF"/>
    <w:rsid w:val="00D371F4"/>
    <w:rsid w:val="00D37A6C"/>
    <w:rsid w:val="00D45AAE"/>
    <w:rsid w:val="00D56C29"/>
    <w:rsid w:val="00D60F95"/>
    <w:rsid w:val="00D629B8"/>
    <w:rsid w:val="00D76B0B"/>
    <w:rsid w:val="00D813BA"/>
    <w:rsid w:val="00D8258E"/>
    <w:rsid w:val="00D8537A"/>
    <w:rsid w:val="00D86720"/>
    <w:rsid w:val="00D9151E"/>
    <w:rsid w:val="00D96DF6"/>
    <w:rsid w:val="00D97E19"/>
    <w:rsid w:val="00DA0EA0"/>
    <w:rsid w:val="00DA36FA"/>
    <w:rsid w:val="00DC04F4"/>
    <w:rsid w:val="00DD24F8"/>
    <w:rsid w:val="00DE55C5"/>
    <w:rsid w:val="00DE7F27"/>
    <w:rsid w:val="00E03FC4"/>
    <w:rsid w:val="00E121B3"/>
    <w:rsid w:val="00E1429E"/>
    <w:rsid w:val="00E35909"/>
    <w:rsid w:val="00E36B1C"/>
    <w:rsid w:val="00E44B0D"/>
    <w:rsid w:val="00E45C24"/>
    <w:rsid w:val="00E4700C"/>
    <w:rsid w:val="00E50F81"/>
    <w:rsid w:val="00E628C0"/>
    <w:rsid w:val="00E76B89"/>
    <w:rsid w:val="00E8341F"/>
    <w:rsid w:val="00E8634A"/>
    <w:rsid w:val="00E86AF9"/>
    <w:rsid w:val="00E91BF0"/>
    <w:rsid w:val="00E92E01"/>
    <w:rsid w:val="00E92F60"/>
    <w:rsid w:val="00E948ED"/>
    <w:rsid w:val="00EB15F5"/>
    <w:rsid w:val="00EC56AB"/>
    <w:rsid w:val="00ED71CF"/>
    <w:rsid w:val="00EE4F83"/>
    <w:rsid w:val="00EF3A45"/>
    <w:rsid w:val="00F027EF"/>
    <w:rsid w:val="00F07601"/>
    <w:rsid w:val="00F203B0"/>
    <w:rsid w:val="00F22461"/>
    <w:rsid w:val="00F27A44"/>
    <w:rsid w:val="00F301E7"/>
    <w:rsid w:val="00F36581"/>
    <w:rsid w:val="00F4355D"/>
    <w:rsid w:val="00F435C3"/>
    <w:rsid w:val="00F51323"/>
    <w:rsid w:val="00F5212C"/>
    <w:rsid w:val="00F62254"/>
    <w:rsid w:val="00F71D10"/>
    <w:rsid w:val="00F828C4"/>
    <w:rsid w:val="00F841D2"/>
    <w:rsid w:val="00F95C67"/>
    <w:rsid w:val="00FA7313"/>
    <w:rsid w:val="00FB5225"/>
    <w:rsid w:val="00FD2BCA"/>
    <w:rsid w:val="00FD2F6D"/>
    <w:rsid w:val="00FD4672"/>
    <w:rsid w:val="00FE3A78"/>
    <w:rsid w:val="00FE4526"/>
    <w:rsid w:val="00FE5F14"/>
    <w:rsid w:val="00FF016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9E"/>
    <w:pPr>
      <w:spacing w:line="480" w:lineRule="auto"/>
      <w:ind w:firstLine="720"/>
    </w:pPr>
    <w:rPr>
      <w:sz w:val="24"/>
      <w:szCs w:val="24"/>
    </w:rPr>
  </w:style>
  <w:style w:type="paragraph" w:styleId="Heading1">
    <w:name w:val="heading 1"/>
    <w:basedOn w:val="BodyText"/>
    <w:next w:val="Normal"/>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paragraph" w:styleId="NormalWeb">
    <w:name w:val="Normal (Web)"/>
    <w:basedOn w:val="Normal"/>
    <w:uiPriority w:val="99"/>
    <w:unhideWhenUsed/>
    <w:rsid w:val="006C1718"/>
    <w:pPr>
      <w:spacing w:before="100" w:beforeAutospacing="1" w:after="100" w:afterAutospacing="1" w:line="240" w:lineRule="auto"/>
      <w:ind w:firstLine="0"/>
    </w:pPr>
  </w:style>
  <w:style w:type="character" w:styleId="UnresolvedMention">
    <w:name w:val="Unresolved Mention"/>
    <w:basedOn w:val="DefaultParagraphFont"/>
    <w:uiPriority w:val="99"/>
    <w:semiHidden/>
    <w:unhideWhenUsed/>
    <w:rsid w:val="00493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269">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48115353">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43669237">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230769810">
      <w:bodyDiv w:val="1"/>
      <w:marLeft w:val="0"/>
      <w:marRight w:val="0"/>
      <w:marTop w:val="0"/>
      <w:marBottom w:val="0"/>
      <w:divBdr>
        <w:top w:val="none" w:sz="0" w:space="0" w:color="auto"/>
        <w:left w:val="none" w:sz="0" w:space="0" w:color="auto"/>
        <w:bottom w:val="none" w:sz="0" w:space="0" w:color="auto"/>
        <w:right w:val="none" w:sz="0" w:space="0" w:color="auto"/>
      </w:divBdr>
    </w:div>
    <w:div w:id="314191051">
      <w:bodyDiv w:val="1"/>
      <w:marLeft w:val="0"/>
      <w:marRight w:val="0"/>
      <w:marTop w:val="0"/>
      <w:marBottom w:val="0"/>
      <w:divBdr>
        <w:top w:val="none" w:sz="0" w:space="0" w:color="auto"/>
        <w:left w:val="none" w:sz="0" w:space="0" w:color="auto"/>
        <w:bottom w:val="none" w:sz="0" w:space="0" w:color="auto"/>
        <w:right w:val="none" w:sz="0" w:space="0" w:color="auto"/>
      </w:divBdr>
    </w:div>
    <w:div w:id="316496207">
      <w:bodyDiv w:val="1"/>
      <w:marLeft w:val="0"/>
      <w:marRight w:val="0"/>
      <w:marTop w:val="0"/>
      <w:marBottom w:val="0"/>
      <w:divBdr>
        <w:top w:val="none" w:sz="0" w:space="0" w:color="auto"/>
        <w:left w:val="none" w:sz="0" w:space="0" w:color="auto"/>
        <w:bottom w:val="none" w:sz="0" w:space="0" w:color="auto"/>
        <w:right w:val="none" w:sz="0" w:space="0" w:color="auto"/>
      </w:divBdr>
    </w:div>
    <w:div w:id="340592284">
      <w:bodyDiv w:val="1"/>
      <w:marLeft w:val="0"/>
      <w:marRight w:val="0"/>
      <w:marTop w:val="0"/>
      <w:marBottom w:val="0"/>
      <w:divBdr>
        <w:top w:val="none" w:sz="0" w:space="0" w:color="auto"/>
        <w:left w:val="none" w:sz="0" w:space="0" w:color="auto"/>
        <w:bottom w:val="none" w:sz="0" w:space="0" w:color="auto"/>
        <w:right w:val="none" w:sz="0" w:space="0" w:color="auto"/>
      </w:divBdr>
    </w:div>
    <w:div w:id="544026765">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3847272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8731223">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814102921">
      <w:bodyDiv w:val="1"/>
      <w:marLeft w:val="0"/>
      <w:marRight w:val="0"/>
      <w:marTop w:val="0"/>
      <w:marBottom w:val="0"/>
      <w:divBdr>
        <w:top w:val="none" w:sz="0" w:space="0" w:color="auto"/>
        <w:left w:val="none" w:sz="0" w:space="0" w:color="auto"/>
        <w:bottom w:val="none" w:sz="0" w:space="0" w:color="auto"/>
        <w:right w:val="none" w:sz="0" w:space="0" w:color="auto"/>
      </w:divBdr>
    </w:div>
    <w:div w:id="1820921627">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s/cloud-archive/2017/03/how-organizations-are-measuring-cloud-succ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nge-business.com/en/blogs/connecting-technology/cloud-data-center/6-hidden-costs-to-cloud-and-how-to-beat-th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Paul Polsinelli</cp:lastModifiedBy>
  <cp:revision>17</cp:revision>
  <dcterms:created xsi:type="dcterms:W3CDTF">2020-09-26T17:25:00Z</dcterms:created>
  <dcterms:modified xsi:type="dcterms:W3CDTF">2020-09-27T22:21:00Z</dcterms:modified>
</cp:coreProperties>
</file>