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W-9 INTAKE FORM</w:t>
      </w:r>
    </w:p>
    <w:p>
      <w:r>
        <w:t>Company name: The company name is not explicitly stated in the security &amp; privacy policies retrieved; however, references to regulatory filings indicate that it could either be linked to a registrant mentioned or a charter specification.</w:t>
      </w:r>
    </w:p>
    <w:p>
      <w:r>
        <w:t>Tax ID (EIN): The Employer Identification Number (EIN) is a nine-digit number assigned by the IRS for reporting employment taxes and managing tax accounts. It is crucial to use the correct EIN on all tax forms and notifications. If you do not have an EIN, you can apply for one online or through other IRS methods. Always ensure consistency with the EIN used for various forms to avoid potential penalties.</w:t>
      </w:r>
    </w:p>
    <w:p>
      <w:r>
        <w:t>Mailing address: A property address is required for every policy, usually in the form of a street address or a descriptive address. The best approach is to use the street address, which includes the street number, street name, unit or apartment number, city or county name, state, and zip code. If a street address is unavailable, a descriptive address such as a rural route or a legal description may be used.</w:t>
      </w:r>
    </w:p>
    <w:p>
      <w:r>
        <w:t>Primary contact name: The field for CONTACT NAME in our security and privacy policies relates to protecting individual privacy as a fundamental human right. Organizations are expected to provide just-in-time notices regarding the processing of personally identifiable information, with directors overseeing efforts in information security and privacy.</w:t>
      </w:r>
    </w:p>
    <w:p>
      <w:r>
        <w:t>Primary contact email: The contact email address provided in our security and privacy policies is: info@propertymanagementto.com and arnavgoel2@gmail.com.</w:t>
      </w:r>
    </w:p>
    <w:p>
      <w:r>
        <w:t>Primary contact phone: The CONTACT PHONE according to our security and privacy policies includes the following numbers: +1 2066691322, 416-451-9499, and (647) 721-1822.</w:t>
      </w:r>
    </w:p>
    <w:p>
      <w:r>
        <w:t>Tax classification (LLC, S-Corp, C-Corp, Sole Proprietor): The context regarding "TAX CLASS" is summarized from various documents related to tax guides and regulations. The relevant summaries include employer's tax guides, classifications for small business taxes, and information on taxable vs. nontaxable income. Specific pages reference employer guides, excise taxes, and tax help resources. However, detailed policy content on "TAX CLASS" specifically was not available in the retrieved documents, indicating that more specific definitions or guidance on tax classifications may not be present in this corpus.</w:t>
      </w:r>
    </w:p>
    <w:p>
      <w:r>
        <w:t>Account number for payment routing: Our policies prioritize the protection of privacy and security for our products, users, and customers through investments in default security, responsible data practices, and user-controlled settings. Security programs, in collaboration with privacy officials, establish conditions for account access and management, ensuring proper authorization while considering factors like expiration and disabling of accounts. Access to assets is limited to authorized users and managed per assessed risks, with provisions for training on cybersecurity measures. Our account management includes defining types of accounts allowed, monitoring usage, and ensuring compliance with policies, with a focus on protecting against risks associated with certain account types.</w:t>
      </w:r>
    </w:p>
    <w:p>
      <w:r>
        <w:t>Bank routing number: The routing policies prioritize protecting privacy and security of information through several key strategies: 1) **Data Minimization**: Limiting data collection to what is necessary for functional purposes. 2) **On-Device Processing**: Employing processing directly on user devices to enhance privacy and reduce the risk of data exposure. 3) **Transparency and User Choice**: Users are informed about data usage and can make choices regarding their information. 4) **Secure Practices**: Implementation of encryption for data in transit, secure key management, and authentication for network communications using standards like TLS and IPsec. This multi-layered approach ensures that security and privacy practices are integrated into organizational processes and are continuously monitored for effectiveness. Furthermore, organizations assess risks associated with operational activities to strengthen overall security and privacy frameworks.</w:t>
      </w:r>
    </w:p>
    <w:p>
      <w:r>
        <w:t>Authorized signer: The term "signer" in the context of security and privacy policies refers to individuals whose signatures are used to authenticate documents and agreements. For instance, an insurer may accept electronic submissions contingent on signature authentication processes. This ensures the integrity and verification of the signer's identity, as highlighted in several documents discussing electronic signature verification measures. Moreover, secure practices are emphasized in the policies that protect user data, suggesting a robust framework around the management and authentication of signers.</w:t>
      </w:r>
    </w:p>
    <w:p>
      <w:r>
        <w:t>Date: The security and privacy policies emphasize a commitment to protecting user data through various measures such as data minimization, transparency, and on-device processing. Agencies are required to maintain comprehensive privacy programs and comply with federal laws regarding personal information. This involves collaboration between security and privacy programs to implement appropriate controls and ensure risks are managed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