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1EE" w:rsidRPr="008E4524" w:rsidRDefault="00F961EE" w:rsidP="00F961EE">
      <w:pPr>
        <w:spacing w:line="480" w:lineRule="auto"/>
        <w:jc w:val="both"/>
        <w:rPr>
          <w:rFonts w:ascii="Times New Roman" w:hAnsi="Times New Roman" w:cs="Times New Roman"/>
          <w:sz w:val="23"/>
          <w:szCs w:val="23"/>
        </w:rPr>
      </w:pPr>
    </w:p>
    <w:p w:rsidR="00CD7C58" w:rsidRPr="008E4524" w:rsidRDefault="00CD7C58" w:rsidP="00FF713D">
      <w:pPr>
        <w:spacing w:line="480" w:lineRule="auto"/>
        <w:rPr>
          <w:rFonts w:ascii="Times New Roman" w:hAnsi="Times New Roman" w:cs="Times New Roman"/>
          <w:b/>
        </w:rPr>
      </w:pPr>
      <w:r w:rsidRPr="008E4524">
        <w:rPr>
          <w:rFonts w:ascii="Times New Roman" w:hAnsi="Times New Roman" w:cs="Times New Roman"/>
          <w:b/>
        </w:rPr>
        <w:t xml:space="preserve">Collection of chemical perturbagen </w:t>
      </w:r>
      <w:r w:rsidR="00D70C45" w:rsidRPr="008E4524">
        <w:rPr>
          <w:rFonts w:ascii="Times New Roman" w:hAnsi="Times New Roman" w:cs="Times New Roman"/>
          <w:b/>
        </w:rPr>
        <w:t xml:space="preserve">gene expression </w:t>
      </w:r>
      <w:r w:rsidRPr="008E4524">
        <w:rPr>
          <w:rFonts w:ascii="Times New Roman" w:hAnsi="Times New Roman" w:cs="Times New Roman"/>
          <w:b/>
        </w:rPr>
        <w:t>signatures</w:t>
      </w:r>
    </w:p>
    <w:p w:rsidR="00E924CC" w:rsidRPr="008E4524" w:rsidRDefault="00D70C45" w:rsidP="00E924CC">
      <w:pPr>
        <w:spacing w:line="480" w:lineRule="auto"/>
        <w:jc w:val="both"/>
        <w:rPr>
          <w:rFonts w:ascii="Times New Roman" w:hAnsi="Times New Roman" w:cs="Times New Roman"/>
          <w:sz w:val="23"/>
          <w:szCs w:val="23"/>
        </w:rPr>
      </w:pPr>
      <w:r w:rsidRPr="008E4524">
        <w:rPr>
          <w:rFonts w:ascii="Times New Roman" w:hAnsi="Times New Roman" w:cs="Times New Roman"/>
          <w:sz w:val="23"/>
          <w:szCs w:val="23"/>
        </w:rPr>
        <w:t>A full matrix was downloaded from the LINCS website (</w:t>
      </w:r>
      <w:hyperlink r:id="rId4" w:history="1">
        <w:r w:rsidRPr="008E4524">
          <w:rPr>
            <w:rStyle w:val="Hyperlink"/>
            <w:rFonts w:ascii="Times New Roman" w:hAnsi="Times New Roman" w:cs="Times New Roman"/>
            <w:color w:val="auto"/>
            <w:sz w:val="23"/>
            <w:szCs w:val="23"/>
          </w:rPr>
          <w:t>http://www.lincscloud.org/</w:t>
        </w:r>
      </w:hyperlink>
      <w:r w:rsidRPr="008E4524">
        <w:rPr>
          <w:rFonts w:ascii="Times New Roman" w:hAnsi="Times New Roman" w:cs="Times New Roman"/>
          <w:sz w:val="23"/>
          <w:szCs w:val="23"/>
        </w:rPr>
        <w:t xml:space="preserve">) as of September 2013. </w:t>
      </w:r>
      <w:r w:rsidR="00E924CC" w:rsidRPr="008E4524">
        <w:rPr>
          <w:rFonts w:ascii="Times New Roman" w:hAnsi="Times New Roman" w:cs="Times New Roman"/>
          <w:sz w:val="23"/>
          <w:szCs w:val="23"/>
        </w:rPr>
        <w:t xml:space="preserve">The signature, derived from the comparison of expressions between treated and untreated samples, represents gene expression change upon treatment. As gene expression is highly correlated, LINCS chose to profile 1000 genes that are capable of capturing about 80% information of the whole genome. By excluding the invariant genes used for normalization, 978 genes directly measured in cell lines were remained for the analysis. The meta-information of cell lines, perturbagens, genes, and instances was retrieved via the APIs. </w:t>
      </w:r>
      <w:r w:rsidR="00E924CC" w:rsidRPr="008E4524">
        <w:rPr>
          <w:rFonts w:ascii="Times New Roman" w:eastAsia="Times New Roman" w:hAnsi="Times New Roman" w:cs="Times New Roman"/>
          <w:sz w:val="23"/>
          <w:szCs w:val="23"/>
        </w:rPr>
        <w:t xml:space="preserve">LINCS provides the expression of landmark genes for chemical perturbagens and genetic perturbagens. In this work, we only considered chemical perturbagens. One chemical perturbagen represents one chemical compound. A small number of perturbagens may share the same chemical structures. </w:t>
      </w:r>
      <w:r w:rsidR="00E924CC" w:rsidRPr="008E4524">
        <w:rPr>
          <w:rFonts w:ascii="Times New Roman" w:hAnsi="Times New Roman" w:cs="Times New Roman"/>
          <w:sz w:val="23"/>
          <w:szCs w:val="23"/>
        </w:rPr>
        <w:t>Only small molecular perturbagens with high quality gene expression profiles (is_gold = 1, annotated in the meta-information) were further analyzed. 66,559 profiles from 13,020 distinct perturbagens remained for further analysis.  </w:t>
      </w:r>
    </w:p>
    <w:p w:rsidR="00CD7C58" w:rsidRPr="008E4524" w:rsidRDefault="00CD7C58" w:rsidP="00FF713D">
      <w:pPr>
        <w:spacing w:line="480" w:lineRule="auto"/>
        <w:rPr>
          <w:rFonts w:ascii="Times New Roman" w:hAnsi="Times New Roman" w:cs="Times New Roman"/>
          <w:b/>
        </w:rPr>
      </w:pPr>
    </w:p>
    <w:p w:rsidR="006E3496" w:rsidRPr="008E4524" w:rsidRDefault="00EC642A" w:rsidP="00FF713D">
      <w:pPr>
        <w:spacing w:line="480" w:lineRule="auto"/>
        <w:rPr>
          <w:rFonts w:ascii="Times New Roman" w:hAnsi="Times New Roman" w:cs="Times New Roman"/>
          <w:b/>
        </w:rPr>
      </w:pPr>
      <w:r w:rsidRPr="008E4524">
        <w:rPr>
          <w:rFonts w:ascii="Times New Roman" w:hAnsi="Times New Roman" w:cs="Times New Roman"/>
          <w:b/>
        </w:rPr>
        <w:t>Collection of c</w:t>
      </w:r>
      <w:r w:rsidR="006E3496" w:rsidRPr="008E4524">
        <w:rPr>
          <w:rFonts w:ascii="Times New Roman" w:hAnsi="Times New Roman" w:cs="Times New Roman"/>
          <w:b/>
        </w:rPr>
        <w:t xml:space="preserve">hemical </w:t>
      </w:r>
      <w:r w:rsidRPr="008E4524">
        <w:rPr>
          <w:rFonts w:ascii="Times New Roman" w:hAnsi="Times New Roman" w:cs="Times New Roman"/>
          <w:b/>
        </w:rPr>
        <w:t>structures, physical properties, and bioactivities</w:t>
      </w:r>
    </w:p>
    <w:p w:rsidR="006E3496" w:rsidRPr="008E4524" w:rsidRDefault="006E3496" w:rsidP="006E3496">
      <w:pPr>
        <w:spacing w:line="480" w:lineRule="auto"/>
        <w:jc w:val="both"/>
        <w:rPr>
          <w:rFonts w:ascii="Times New Roman" w:hAnsi="Times New Roman" w:cs="Times New Roman"/>
          <w:sz w:val="23"/>
          <w:szCs w:val="23"/>
        </w:rPr>
      </w:pPr>
      <w:r w:rsidRPr="008E4524">
        <w:rPr>
          <w:rFonts w:ascii="Times New Roman" w:hAnsi="Times New Roman" w:cs="Times New Roman"/>
          <w:sz w:val="23"/>
          <w:szCs w:val="23"/>
        </w:rPr>
        <w:t xml:space="preserve">Chemical structures (represented as SMILES) of the perturbagens were retrieved by </w:t>
      </w:r>
      <w:r w:rsidRPr="008E4524">
        <w:rPr>
          <w:rFonts w:ascii="Times New Roman" w:hAnsi="Times New Roman" w:cs="Times New Roman"/>
          <w:i/>
          <w:sz w:val="23"/>
          <w:szCs w:val="23"/>
        </w:rPr>
        <w:t>pubchempy</w:t>
      </w:r>
      <w:r w:rsidRPr="008E4524">
        <w:rPr>
          <w:rFonts w:ascii="Times New Roman" w:hAnsi="Times New Roman" w:cs="Times New Roman"/>
          <w:sz w:val="23"/>
          <w:szCs w:val="23"/>
        </w:rPr>
        <w:t xml:space="preserve"> using PubChem CID if CID was provided by LINCS. For those perturbagens whose CID was not provided, their CID was retrieved using </w:t>
      </w:r>
      <w:r w:rsidRPr="008E4524">
        <w:rPr>
          <w:rFonts w:ascii="Times New Roman" w:hAnsi="Times New Roman" w:cs="Times New Roman"/>
          <w:i/>
          <w:sz w:val="23"/>
          <w:szCs w:val="23"/>
        </w:rPr>
        <w:t>pubchempy</w:t>
      </w:r>
      <w:r w:rsidRPr="008E4524">
        <w:rPr>
          <w:rFonts w:ascii="Times New Roman" w:hAnsi="Times New Roman" w:cs="Times New Roman"/>
          <w:sz w:val="23"/>
          <w:szCs w:val="23"/>
        </w:rPr>
        <w:t xml:space="preserve">. If multiple CIDs were retrieved, only the first one was selected and was subject to manual inspection. The compound physical properties and bioactivities were retrieved via PubChem REST APIs using CID. Assay description and bioactivity outcome (i.e., active, inactive) were provided by PubChem. Only NCI human tumor cell line growth inhibition assays were considered. DrugBank was used to identify drugs from these compounds. </w:t>
      </w:r>
    </w:p>
    <w:p w:rsidR="006E3496" w:rsidRPr="008E4524" w:rsidRDefault="006E3496" w:rsidP="00FF713D">
      <w:pPr>
        <w:spacing w:line="480" w:lineRule="auto"/>
        <w:rPr>
          <w:rFonts w:ascii="Times New Roman" w:hAnsi="Times New Roman" w:cs="Times New Roman"/>
          <w:b/>
        </w:rPr>
      </w:pPr>
    </w:p>
    <w:p w:rsidR="007F6853" w:rsidRPr="008E4524" w:rsidRDefault="006D40E4" w:rsidP="00FF713D">
      <w:pPr>
        <w:spacing w:line="480" w:lineRule="auto"/>
        <w:rPr>
          <w:rFonts w:ascii="Times New Roman" w:hAnsi="Times New Roman" w:cs="Times New Roman"/>
          <w:b/>
        </w:rPr>
      </w:pPr>
      <w:r w:rsidRPr="008E4524">
        <w:rPr>
          <w:rFonts w:ascii="Times New Roman" w:hAnsi="Times New Roman" w:cs="Times New Roman"/>
          <w:b/>
        </w:rPr>
        <w:t>Chemical structure</w:t>
      </w:r>
      <w:r w:rsidR="007F6853" w:rsidRPr="008E4524">
        <w:rPr>
          <w:rFonts w:ascii="Times New Roman" w:hAnsi="Times New Roman" w:cs="Times New Roman"/>
          <w:b/>
        </w:rPr>
        <w:t xml:space="preserve"> </w:t>
      </w:r>
      <w:r w:rsidR="001109EC" w:rsidRPr="008E4524">
        <w:rPr>
          <w:rFonts w:ascii="Times New Roman" w:hAnsi="Times New Roman" w:cs="Times New Roman"/>
          <w:b/>
        </w:rPr>
        <w:t>processing and similarity calculation</w:t>
      </w:r>
    </w:p>
    <w:p w:rsidR="007F6853" w:rsidRPr="008E4524" w:rsidRDefault="00CF7AC2" w:rsidP="007F6853">
      <w:pPr>
        <w:spacing w:line="480" w:lineRule="auto"/>
        <w:jc w:val="both"/>
        <w:rPr>
          <w:rFonts w:ascii="Times New Roman" w:hAnsi="Times New Roman" w:cs="Times New Roman"/>
          <w:sz w:val="23"/>
          <w:szCs w:val="23"/>
        </w:rPr>
      </w:pPr>
      <w:r w:rsidRPr="008E4524">
        <w:rPr>
          <w:rFonts w:ascii="Times New Roman" w:hAnsi="Times New Roman" w:cs="Times New Roman"/>
          <w:sz w:val="23"/>
          <w:szCs w:val="23"/>
        </w:rPr>
        <w:t>T</w:t>
      </w:r>
      <w:r w:rsidR="004C717E" w:rsidRPr="008E4524">
        <w:rPr>
          <w:rFonts w:ascii="Times New Roman" w:hAnsi="Times New Roman" w:cs="Times New Roman"/>
          <w:sz w:val="23"/>
          <w:szCs w:val="23"/>
        </w:rPr>
        <w:t xml:space="preserve">he </w:t>
      </w:r>
      <w:r w:rsidR="0075128C" w:rsidRPr="008E4524">
        <w:rPr>
          <w:rFonts w:ascii="Times New Roman" w:hAnsi="Times New Roman" w:cs="Times New Roman"/>
          <w:i/>
          <w:sz w:val="23"/>
          <w:szCs w:val="23"/>
        </w:rPr>
        <w:t>ChemAxon</w:t>
      </w:r>
      <w:r w:rsidR="004824FA" w:rsidRPr="008E4524">
        <w:rPr>
          <w:rFonts w:ascii="Times New Roman" w:hAnsi="Times New Roman" w:cs="Times New Roman"/>
          <w:sz w:val="23"/>
          <w:szCs w:val="23"/>
        </w:rPr>
        <w:t xml:space="preserve"> Java package </w:t>
      </w:r>
      <w:r w:rsidRPr="008E4524">
        <w:rPr>
          <w:rFonts w:ascii="Times New Roman" w:hAnsi="Times New Roman" w:cs="Times New Roman"/>
          <w:sz w:val="23"/>
          <w:szCs w:val="23"/>
        </w:rPr>
        <w:t xml:space="preserve">was used </w:t>
      </w:r>
      <w:r w:rsidR="0075128C" w:rsidRPr="008E4524">
        <w:rPr>
          <w:rFonts w:ascii="Times New Roman" w:hAnsi="Times New Roman" w:cs="Times New Roman"/>
          <w:sz w:val="23"/>
          <w:szCs w:val="23"/>
        </w:rPr>
        <w:t xml:space="preserve">to process chemical structures and compute similarity. </w:t>
      </w:r>
      <w:r w:rsidR="005C3BCC" w:rsidRPr="008E4524">
        <w:rPr>
          <w:rFonts w:ascii="Times New Roman" w:hAnsi="Times New Roman" w:cs="Times New Roman"/>
          <w:sz w:val="23"/>
          <w:szCs w:val="23"/>
        </w:rPr>
        <w:t xml:space="preserve">Fingerprints Extended Connectivity Fingerprint 4 (ECFP4) and Pharmacophore Fingerprint (PFP) were used. </w:t>
      </w:r>
      <w:r w:rsidR="007F6853" w:rsidRPr="008E4524">
        <w:rPr>
          <w:rFonts w:ascii="Times New Roman" w:hAnsi="Times New Roman" w:cs="Times New Roman"/>
          <w:sz w:val="23"/>
          <w:szCs w:val="23"/>
        </w:rPr>
        <w:t xml:space="preserve">ECFP presents structural features of circular neighborhoods of each atom. ECFP4 denotes that the maximum diameter of the circular neighborhoods is set to 4. PFP presents pharmacophoric features including all those binding related structural or chemical properties. The compounds were given as SMILES strings and their structural/pharmacophoric features were generated as bit strings.  Structural similarity is the Tanimoto coefficient of the bit strings of a pair of compounds. The default parameters in </w:t>
      </w:r>
      <w:r w:rsidR="007F6853" w:rsidRPr="008E4524">
        <w:rPr>
          <w:rFonts w:ascii="Times New Roman" w:hAnsi="Times New Roman" w:cs="Times New Roman"/>
          <w:i/>
          <w:sz w:val="23"/>
          <w:szCs w:val="23"/>
        </w:rPr>
        <w:t>ChemAxon</w:t>
      </w:r>
      <w:r w:rsidR="007F6853" w:rsidRPr="008E4524">
        <w:rPr>
          <w:rFonts w:ascii="Times New Roman" w:hAnsi="Times New Roman" w:cs="Times New Roman"/>
          <w:sz w:val="23"/>
          <w:szCs w:val="23"/>
        </w:rPr>
        <w:t xml:space="preserve"> were used for structure processing and similarity computation.</w:t>
      </w:r>
    </w:p>
    <w:p w:rsidR="007F6853" w:rsidRPr="008E4524" w:rsidRDefault="007F6853" w:rsidP="00FF713D">
      <w:pPr>
        <w:spacing w:line="480" w:lineRule="auto"/>
        <w:rPr>
          <w:rFonts w:ascii="Times New Roman" w:hAnsi="Times New Roman" w:cs="Times New Roman"/>
          <w:b/>
        </w:rPr>
      </w:pPr>
    </w:p>
    <w:p w:rsidR="00FF713D" w:rsidRPr="008E4524" w:rsidRDefault="00FF713D" w:rsidP="00FF713D">
      <w:pPr>
        <w:spacing w:line="480" w:lineRule="auto"/>
        <w:rPr>
          <w:rFonts w:ascii="Times New Roman" w:hAnsi="Times New Roman" w:cs="Times New Roman"/>
          <w:b/>
        </w:rPr>
      </w:pPr>
      <w:r w:rsidRPr="008E4524">
        <w:rPr>
          <w:rFonts w:ascii="Times New Roman" w:hAnsi="Times New Roman" w:cs="Times New Roman"/>
          <w:b/>
        </w:rPr>
        <w:t>Compound physical properties as confounding factors</w:t>
      </w:r>
    </w:p>
    <w:p w:rsidR="00F961EE" w:rsidRPr="008E4524" w:rsidRDefault="00F961EE" w:rsidP="00F961EE">
      <w:pPr>
        <w:spacing w:line="480" w:lineRule="auto"/>
        <w:jc w:val="both"/>
        <w:rPr>
          <w:rFonts w:ascii="Times New Roman" w:hAnsi="Times New Roman" w:cs="Times New Roman"/>
          <w:sz w:val="20"/>
          <w:szCs w:val="20"/>
        </w:rPr>
      </w:pPr>
      <w:r w:rsidRPr="008E4524">
        <w:rPr>
          <w:rFonts w:ascii="Times New Roman" w:hAnsi="Times New Roman" w:cs="Times New Roman"/>
          <w:sz w:val="23"/>
          <w:szCs w:val="23"/>
        </w:rPr>
        <w:t xml:space="preserve">We assess the four properties stated in the Lipinski's Rule of five, a rule of thumb frequently used to evaluate drug-likeness </w:t>
      </w:r>
      <w:r w:rsidR="00FF4B65" w:rsidRPr="008E4524">
        <w:rPr>
          <w:rFonts w:ascii="Times New Roman" w:hAnsi="Times New Roman" w:cs="Times New Roman"/>
          <w:sz w:val="23"/>
          <w:szCs w:val="23"/>
        </w:rPr>
        <w:fldChar w:fldCharType="begin"/>
      </w:r>
      <w:r w:rsidRPr="008E4524">
        <w:rPr>
          <w:rFonts w:ascii="Times New Roman" w:hAnsi="Times New Roman" w:cs="Times New Roman"/>
          <w:sz w:val="23"/>
          <w:szCs w:val="23"/>
        </w:rPr>
        <w:instrText xml:space="preserve"> ADDIN EN.CITE &lt;EndNote&gt;&lt;Cite&gt;&lt;Author&gt;Lipinski&lt;/Author&gt;&lt;Year&gt;2001&lt;/Year&gt;&lt;RecNum&gt;3333&lt;/RecNum&gt;&lt;DisplayText&gt;(28)&lt;/DisplayText&gt;&lt;record&gt;&lt;rec-number&gt;3333&lt;/rec-number&gt;&lt;foreign-keys&gt;&lt;key app="EN" db-id="tf5sp29rst5wwxea5ryp9vfofrr95x9wt022" timestamp="1418951950"&gt;3333&lt;/key&gt;&lt;/foreign-keys&gt;&lt;ref-type name="Journal Article"&gt;17&lt;/ref-type&gt;&lt;contributors&gt;&lt;authors&gt;&lt;author&gt;Lipinski, C. A.&lt;/author&gt;&lt;author&gt;Lombardo, F.&lt;/author&gt;&lt;author&gt;Dominy, B. W.&lt;/author&gt;&lt;author&gt;Feeney, P. J.&lt;/author&gt;&lt;/authors&gt;&lt;/contributors&gt;&lt;auth-address&gt;Central Research Division, Pfizer Inc., Groton, CT 06340, USA. LIPINSKI@PFIZER.COM&lt;/auth-address&gt;&lt;titles&gt;&lt;title&gt;Experimental and computational approaches to estimate solubility and permeability in drug discovery and development settings&lt;/title&gt;&lt;secondary-title&gt;Adv Drug Deliv Rev&lt;/secondary-title&gt;&lt;alt-title&gt;Advanced drug delivery reviews&lt;/alt-title&gt;&lt;/titles&gt;&lt;periodical&gt;&lt;full-title&gt;Adv Drug Deliv Rev&lt;/full-title&gt;&lt;/periodical&gt;&lt;pages&gt;3-26&lt;/pages&gt;&lt;volume&gt;46&lt;/volume&gt;&lt;number&gt;1-3&lt;/number&gt;&lt;edition&gt;2001/03/22&lt;/edition&gt;&lt;keywords&gt;&lt;keyword&gt;Adsorption&lt;/keyword&gt;&lt;keyword&gt;Chemistry, Physical&lt;/keyword&gt;&lt;keyword&gt;*Computers&lt;/keyword&gt;&lt;keyword&gt;*Permeability&lt;/keyword&gt;&lt;keyword&gt;Pharmaceutical Preparations/*chemistry&lt;/keyword&gt;&lt;keyword&gt;Pharmacology/*instrumentation&lt;/keyword&gt;&lt;keyword&gt;Physicochemical Phenomena&lt;/keyword&gt;&lt;keyword&gt;*Solubility&lt;/keyword&gt;&lt;keyword&gt;Thermodynamics&lt;/keyword&gt;&lt;/keywords&gt;&lt;dates&gt;&lt;year&gt;2001&lt;/year&gt;&lt;pub-dates&gt;&lt;date&gt;Mar 1&lt;/date&gt;&lt;/pub-dates&gt;&lt;/dates&gt;&lt;isbn&gt;0169-409X (Print)&amp;#xD;0169-409X (Linking)&lt;/isbn&gt;&lt;accession-num&gt;11259830&lt;/accession-num&gt;&lt;work-type&gt;Review&lt;/work-type&gt;&lt;urls&gt;&lt;related-urls&gt;&lt;url&gt;http://www.ncbi.nlm.nih.gov/pubmed/11259830&lt;/url&gt;&lt;/related-urls&gt;&lt;/urls&gt;&lt;/record&gt;&lt;/Cite&gt;&lt;/EndNote&gt;</w:instrText>
      </w:r>
      <w:r w:rsidR="00FF4B65" w:rsidRPr="008E4524">
        <w:rPr>
          <w:rFonts w:ascii="Times New Roman" w:hAnsi="Times New Roman" w:cs="Times New Roman"/>
          <w:sz w:val="23"/>
          <w:szCs w:val="23"/>
        </w:rPr>
        <w:fldChar w:fldCharType="separate"/>
      </w:r>
      <w:r w:rsidRPr="008E4524">
        <w:rPr>
          <w:rFonts w:ascii="Times New Roman" w:hAnsi="Times New Roman" w:cs="Times New Roman"/>
          <w:noProof/>
          <w:sz w:val="23"/>
          <w:szCs w:val="23"/>
        </w:rPr>
        <w:t>(</w:t>
      </w:r>
      <w:r w:rsidR="00E22B76" w:rsidRPr="008E4524">
        <w:rPr>
          <w:rFonts w:ascii="Times New Roman" w:hAnsi="Times New Roman" w:cs="Times New Roman"/>
          <w:noProof/>
          <w:sz w:val="23"/>
          <w:szCs w:val="23"/>
        </w:rPr>
        <w:t>1</w:t>
      </w:r>
      <w:r w:rsidRPr="008E4524">
        <w:rPr>
          <w:rFonts w:ascii="Times New Roman" w:hAnsi="Times New Roman" w:cs="Times New Roman"/>
          <w:noProof/>
          <w:sz w:val="23"/>
          <w:szCs w:val="23"/>
        </w:rPr>
        <w:t>)</w:t>
      </w:r>
      <w:r w:rsidR="00FF4B65" w:rsidRPr="008E4524">
        <w:rPr>
          <w:rFonts w:ascii="Times New Roman" w:hAnsi="Times New Roman" w:cs="Times New Roman"/>
          <w:sz w:val="23"/>
          <w:szCs w:val="23"/>
        </w:rPr>
        <w:fldChar w:fldCharType="end"/>
      </w:r>
      <w:r w:rsidRPr="008E4524">
        <w:rPr>
          <w:rFonts w:ascii="Times New Roman" w:hAnsi="Times New Roman" w:cs="Times New Roman"/>
          <w:sz w:val="23"/>
          <w:szCs w:val="23"/>
        </w:rPr>
        <w:t>. The properties include the count of hydrogen bond donors, the count of hydrogen bond acceptors, molecular mass, and octanol-water partition coefficient, and they are very related to drug pharmacokinetics. It’s suggested that an orally active drug shouldn’t have more than one violation of the rules. 80% compounds passed the “Rule of five” (Fig. S3), reflecting that the library of LINCS is primarily constituted by known drugs and drug-like compounds. For each rule, we group the pairs into three groups: those with no compound violating the rule, those with one compound violating the rule and those with both compounds violating the rule. We then compute their correlation between structural similarity and transcriptomic similarity.  No significant difference among three groups was observed (Fig. S4)</w:t>
      </w:r>
      <w:r w:rsidR="00591613" w:rsidRPr="008E4524">
        <w:rPr>
          <w:rFonts w:ascii="Times New Roman" w:hAnsi="Times New Roman" w:cs="Times New Roman"/>
          <w:sz w:val="23"/>
          <w:szCs w:val="23"/>
        </w:rPr>
        <w:t xml:space="preserve"> for all </w:t>
      </w:r>
      <w:bookmarkStart w:id="0" w:name="_GoBack"/>
      <w:bookmarkEnd w:id="0"/>
      <w:r w:rsidR="00591613" w:rsidRPr="008E4524">
        <w:rPr>
          <w:rFonts w:ascii="Times New Roman" w:hAnsi="Times New Roman" w:cs="Times New Roman"/>
          <w:sz w:val="23"/>
          <w:szCs w:val="23"/>
        </w:rPr>
        <w:t>the rules. This</w:t>
      </w:r>
      <w:r w:rsidRPr="008E4524">
        <w:rPr>
          <w:rFonts w:ascii="Times New Roman" w:hAnsi="Times New Roman" w:cs="Times New Roman"/>
          <w:sz w:val="23"/>
          <w:szCs w:val="23"/>
        </w:rPr>
        <w:t xml:space="preserve"> indicat</w:t>
      </w:r>
      <w:r w:rsidR="00591613" w:rsidRPr="008E4524">
        <w:rPr>
          <w:rFonts w:ascii="Times New Roman" w:hAnsi="Times New Roman" w:cs="Times New Roman"/>
          <w:sz w:val="23"/>
          <w:szCs w:val="23"/>
        </w:rPr>
        <w:t>es</w:t>
      </w:r>
      <w:r w:rsidRPr="008E4524">
        <w:rPr>
          <w:rFonts w:ascii="Times New Roman" w:hAnsi="Times New Roman" w:cs="Times New Roman"/>
          <w:sz w:val="23"/>
          <w:szCs w:val="23"/>
        </w:rPr>
        <w:t xml:space="preserve"> </w:t>
      </w:r>
      <w:r w:rsidR="0008254F" w:rsidRPr="008E4524">
        <w:rPr>
          <w:rFonts w:ascii="Times New Roman" w:hAnsi="Times New Roman" w:cs="Times New Roman"/>
          <w:sz w:val="23"/>
          <w:szCs w:val="23"/>
        </w:rPr>
        <w:t xml:space="preserve">that </w:t>
      </w:r>
      <w:r w:rsidRPr="008E4524">
        <w:rPr>
          <w:rFonts w:ascii="Times New Roman" w:hAnsi="Times New Roman" w:cs="Times New Roman"/>
          <w:sz w:val="23"/>
          <w:szCs w:val="23"/>
        </w:rPr>
        <w:t xml:space="preserve">the “Rule of five” properties do not affect the correlation between structural similarity and transcriptomic similarity. </w:t>
      </w:r>
    </w:p>
    <w:p w:rsidR="00421971" w:rsidRPr="008E4524" w:rsidRDefault="00421971"/>
    <w:p w:rsidR="00556639" w:rsidRPr="008E4524" w:rsidRDefault="00E22B76">
      <w:r w:rsidRPr="008E4524">
        <w:t xml:space="preserve">(1) </w:t>
      </w:r>
      <w:r w:rsidRPr="008E4524">
        <w:rPr>
          <w:noProof/>
        </w:rPr>
        <w:t xml:space="preserve">Lipinski, C.A., Lombardo, F., Dominy, B.W. &amp; Feeney, P.J. Experimental and computational approaches to estimate solubility and permeability in drug discovery and development settings. </w:t>
      </w:r>
      <w:r w:rsidRPr="008E4524">
        <w:rPr>
          <w:i/>
          <w:noProof/>
        </w:rPr>
        <w:t>Adv Drug Deliv Rev</w:t>
      </w:r>
      <w:r w:rsidRPr="008E4524">
        <w:rPr>
          <w:noProof/>
        </w:rPr>
        <w:t xml:space="preserve">  </w:t>
      </w:r>
      <w:r w:rsidRPr="008E4524">
        <w:rPr>
          <w:b/>
          <w:noProof/>
        </w:rPr>
        <w:t>46</w:t>
      </w:r>
      <w:r w:rsidRPr="008E4524">
        <w:rPr>
          <w:noProof/>
        </w:rPr>
        <w:t>, 3-26 (2001).</w:t>
      </w:r>
    </w:p>
    <w:sectPr w:rsidR="00556639" w:rsidRPr="008E4524" w:rsidSect="00556639">
      <w:pgSz w:w="12240" w:h="15840"/>
      <w:pgMar w:top="1440" w:right="1800" w:bottom="1440" w:left="1800" w:gutter="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TrackMoves/>
  <w:defaultTabStop w:val="720"/>
  <w:characterSpacingControl w:val="doNotCompress"/>
  <w:savePreviewPicture/>
  <w:compat>
    <w:useFELayout/>
  </w:compat>
  <w:rsids>
    <w:rsidRoot w:val="00F961EE"/>
    <w:rsid w:val="00034574"/>
    <w:rsid w:val="0008254F"/>
    <w:rsid w:val="000D1FB4"/>
    <w:rsid w:val="001109EC"/>
    <w:rsid w:val="00421971"/>
    <w:rsid w:val="004824FA"/>
    <w:rsid w:val="004C717E"/>
    <w:rsid w:val="00556639"/>
    <w:rsid w:val="00591613"/>
    <w:rsid w:val="005A6FA2"/>
    <w:rsid w:val="005C3BCC"/>
    <w:rsid w:val="006D40E4"/>
    <w:rsid w:val="006E3496"/>
    <w:rsid w:val="0075128C"/>
    <w:rsid w:val="007F6853"/>
    <w:rsid w:val="00883087"/>
    <w:rsid w:val="008A5C2D"/>
    <w:rsid w:val="008E4524"/>
    <w:rsid w:val="00904C88"/>
    <w:rsid w:val="00CD7C58"/>
    <w:rsid w:val="00CF7AC2"/>
    <w:rsid w:val="00D70C45"/>
    <w:rsid w:val="00E22B76"/>
    <w:rsid w:val="00E5141C"/>
    <w:rsid w:val="00E924CC"/>
    <w:rsid w:val="00EC642A"/>
    <w:rsid w:val="00F961EE"/>
    <w:rsid w:val="00FF4B65"/>
    <w:rsid w:val="00FF713D"/>
  </w:rsids>
  <m:mathPr>
    <m:mathFont m:val="WP Math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1EE"/>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unhideWhenUsed/>
    <w:rsid w:val="00D70C4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1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0C45"/>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www.lincscloud.org/" TargetMode="External"/><Relationship Id="rId5" Type="http://schemas.openxmlformats.org/officeDocument/2006/relationships/fontTable" Target="fontTable.xml"/><Relationship Id="rId6" Type="http://schemas.openxmlformats.org/officeDocument/2006/relationships/theme" Target="theme/theme1.xml"/><Relationship Id="rId7" Type="http://schemas.microsoft.com/office/2007/relationships/stylesWithEffects" Target="stylesWithEffects.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852</Words>
  <Characters>4861</Characters>
  <Application>Microsoft Macintosh Word</Application>
  <DocSecurity>0</DocSecurity>
  <Lines>40</Lines>
  <Paragraphs>9</Paragraphs>
  <ScaleCrop>false</ScaleCrop>
  <Company>Stanford University</Company>
  <LinksUpToDate>false</LinksUpToDate>
  <CharactersWithSpaces>5969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Chen</dc:creator>
  <cp:keywords/>
  <dc:description/>
  <cp:lastModifiedBy>Rachel Taylor</cp:lastModifiedBy>
  <cp:revision>29</cp:revision>
  <dcterms:created xsi:type="dcterms:W3CDTF">2015-06-26T16:41:00Z</dcterms:created>
  <dcterms:modified xsi:type="dcterms:W3CDTF">2015-07-07T19:38:00Z</dcterms:modified>
</cp:coreProperties>
</file>