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w:t>
      </w:r>
    </w:p>
    <w:p>
      <w:pPr>
        <w:spacing w:after="360"/>
      </w:pPr>
      <w:r>
        <w:rPr>
          <w:color w:val="5A6978"/>
          <w:sz w:val="26"/>
        </w:rPr>
        <w:t>Features, requirements, and where to find them</w:t>
      </w:r>
    </w:p>
    <w:p>
      <w:r>
        <w:t>A self-hosted workspace for one person’s job search. Northstar keeps a career profile, helps find relevant roles, prepares application materials, and tracks each application through the hiring process.</w:t>
      </w:r>
    </w:p>
    <w:p>
      <w:pPr>
        <w:pStyle w:val="Heading1"/>
      </w:pPr>
      <w:r>
        <w:t>At a glance</w:t>
      </w:r>
    </w:p>
    <w:tbl>
      <w:tblPr>
        <w:tblStyle w:val="LightShading-Accent1"/>
        <w:tblW w:type="auto" w:w="0"/>
        <w:tblLook w:firstColumn="1" w:firstRow="1" w:lastColumn="0" w:lastRow="0" w:noHBand="0" w:noVBand="1" w:val="04A0"/>
      </w:tblPr>
      <w:tblGrid>
        <w:gridCol w:w="4939"/>
        <w:gridCol w:w="4939"/>
      </w:tblGrid>
      <w:tr>
        <w:tc>
          <w:tcPr>
            <w:tcW w:type="dxa" w:w="4939"/>
            <w:shd w:fill="17324D"/>
          </w:tcPr>
          <w:p>
            <w:r>
              <w:rPr>
                <w:b/>
                <w:color w:val="FFFFFF"/>
              </w:rPr>
              <w:t>Area</w:t>
            </w:r>
          </w:p>
        </w:tc>
        <w:tc>
          <w:tcPr>
            <w:tcW w:type="dxa" w:w="4939"/>
            <w:shd w:fill="17324D"/>
          </w:tcPr>
          <w:p>
            <w:r>
              <w:rPr>
                <w:b/>
                <w:color w:val="FFFFFF"/>
              </w:rPr>
              <w:t>What Northstar provides</w:t>
            </w:r>
          </w:p>
        </w:tc>
      </w:tr>
      <w:tr>
        <w:tc>
          <w:tcPr>
            <w:tcW w:type="dxa" w:w="4939"/>
          </w:tcPr>
          <w:p>
            <w:pPr>
              <w:spacing w:after="60"/>
            </w:pPr>
            <w:r>
              <w:t>Profile &amp; resume</w:t>
            </w:r>
          </w:p>
        </w:tc>
        <w:tc>
          <w:tcPr>
            <w:tcW w:type="dxa" w:w="4939"/>
          </w:tcPr>
          <w:p>
            <w:pPr>
              <w:spacing w:after="60"/>
            </w:pPr>
            <w:r>
              <w:t>Career profile, resume import, customizable themes, tailored resumes, and PDF output.</w:t>
            </w:r>
          </w:p>
        </w:tc>
      </w:tr>
      <w:tr>
        <w:tc>
          <w:tcPr>
            <w:tcW w:type="dxa" w:w="4939"/>
          </w:tcPr>
          <w:p>
            <w:pPr>
              <w:spacing w:after="60"/>
            </w:pPr>
            <w:r>
              <w:t>Job discovery</w:t>
            </w:r>
          </w:p>
        </w:tc>
        <w:tc>
          <w:tcPr>
            <w:tcW w:type="dxa" w:w="4939"/>
          </w:tcPr>
          <w:p>
            <w:pPr>
              <w:spacing w:after="60"/>
            </w:pPr>
            <w:r>
              <w:t>Job-board search, startup listings, profile-based scoring, and an optional daily agent.</w:t>
            </w:r>
          </w:p>
        </w:tc>
      </w:tr>
      <w:tr>
        <w:tc>
          <w:tcPr>
            <w:tcW w:type="dxa" w:w="4939"/>
          </w:tcPr>
          <w:p>
            <w:pPr>
              <w:spacing w:after="60"/>
            </w:pPr>
            <w:r>
              <w:t>Applications</w:t>
            </w:r>
          </w:p>
        </w:tc>
        <w:tc>
          <w:tcPr>
            <w:tcW w:type="dxa" w:w="4939"/>
          </w:tcPr>
          <w:p>
            <w:pPr>
              <w:spacing w:after="60"/>
            </w:pPr>
            <w:r>
              <w:t>Tailored resumes and letters, email drafts, revision history, notes, and review controls.</w:t>
            </w:r>
          </w:p>
        </w:tc>
      </w:tr>
      <w:tr>
        <w:tc>
          <w:tcPr>
            <w:tcW w:type="dxa" w:w="4939"/>
          </w:tcPr>
          <w:p>
            <w:pPr>
              <w:spacing w:after="60"/>
            </w:pPr>
            <w:r>
              <w:t>Tracking</w:t>
            </w:r>
          </w:p>
        </w:tc>
        <w:tc>
          <w:tcPr>
            <w:tcW w:type="dxa" w:w="4939"/>
          </w:tcPr>
          <w:p>
            <w:pPr>
              <w:spacing w:after="60"/>
            </w:pPr>
            <w:r>
              <w:t>Application board and table, status history, dashboard trends, interviews, and calendar.</w:t>
            </w:r>
          </w:p>
        </w:tc>
      </w:tr>
      <w:tr>
        <w:tc>
          <w:tcPr>
            <w:tcW w:type="dxa" w:w="4939"/>
          </w:tcPr>
          <w:p>
            <w:pPr>
              <w:spacing w:after="60"/>
            </w:pPr>
            <w:r>
              <w:t>Integrations</w:t>
            </w:r>
          </w:p>
        </w:tc>
        <w:tc>
          <w:tcPr>
            <w:tcW w:type="dxa" w:w="4939"/>
          </w:tcPr>
          <w:p>
            <w:pPr>
              <w:spacing w:after="60"/>
            </w:pPr>
            <w:r>
              <w:t>Optional AI providers, Gmail and Calendar, and a limited Claude connector.</w:t>
            </w:r>
          </w:p>
        </w:tc>
      </w:tr>
      <w:tr>
        <w:tc>
          <w:tcPr>
            <w:tcW w:type="dxa" w:w="4939"/>
          </w:tcPr>
          <w:p>
            <w:pPr>
              <w:spacing w:after="60"/>
            </w:pPr>
            <w:r>
              <w:t>Data control</w:t>
            </w:r>
          </w:p>
        </w:tc>
        <w:tc>
          <w:tcPr>
            <w:tcW w:type="dxa" w:w="4939"/>
          </w:tcPr>
          <w:p>
            <w:pPr>
              <w:spacing w:after="60"/>
            </w:pPr>
            <w:r>
              <w:t>Export/import, PDF downloads, nightly backups, and delete-all-data controls.</w:t>
            </w:r>
          </w:p>
        </w:tc>
      </w:tr>
    </w:tbl>
    <w:p>
      <w:pPr>
        <w:spacing w:after="0"/>
      </w:pPr>
    </w:p>
    <w:p>
      <w:pPr>
        <w:pStyle w:val="Heading1"/>
      </w:pPr>
      <w:r>
        <w:t>Features</w:t>
      </w:r>
    </w:p>
    <w:p>
      <w:pPr>
        <w:pStyle w:val="Heading2"/>
      </w:pPr>
      <w:r>
        <w:t>1. Profile and resumes</w:t>
      </w:r>
    </w:p>
    <w:p>
      <w:r>
        <w:t>Build a career profile with skills, languages, experience, projects, education, publications, and references. Import an existing profile from PDF, Word, or Markdown. Create a base resume, customize and preview themes, and render PDFs. For a specific posting, Northstar can tailor the resume. Its default fact guard aims to keep experience grounded in profile and posting details and show missing qualifications as gaps.</w:t>
      </w:r>
    </w:p>
    <w:p>
      <w:pPr>
        <w:spacing w:before="20" w:after="180"/>
      </w:pPr>
      <w:r>
        <w:rPr>
          <w:b/>
          <w:color w:val="187C80"/>
        </w:rPr>
        <w:t xml:space="preserve">Sources  </w:t>
      </w:r>
      <w:r>
        <w:rPr>
          <w:color w:val="5F6973"/>
          <w:sz w:val="18"/>
        </w:rPr>
        <w:t>src/app/(app)/profile; src/app/(app)/resume; src/lib/profile.ts; src/lib/resume*; src/lib/theme*; src/lib/jobs/import-profile.ts; src/lib/jobs/write-documents.ts; src/lib/ai.</w:t>
      </w:r>
    </w:p>
    <w:p>
      <w:pPr>
        <w:pStyle w:val="Heading2"/>
      </w:pPr>
      <w:r>
        <w:t>2. Find jobs and startups</w:t>
      </w:r>
    </w:p>
    <w:p>
      <w:r>
        <w:t>Search through one configured source: JSearch, Adzuna, FreeHire, or the unofficial Germany-only Bundesagentur für Arbeit integration. Save or dismiss postings, score them against the profile, and start applications from results. Startup listings come from YC job posts and Hacker News “Who is hiring?” threads; they are filtered for location and ranked against the profile. Site fetching follows robots.txt.</w:t>
      </w:r>
    </w:p>
    <w:p>
      <w:r>
        <w:t>The optional job agent runs a saved search daily, skips postings already seen, scores new ones, and can prepare drafts. Drafts wait for approval and are not sent automatically.</w:t>
      </w:r>
    </w:p>
    <w:p>
      <w:pPr>
        <w:spacing w:before="20" w:after="180"/>
      </w:pPr>
      <w:r>
        <w:rPr>
          <w:b/>
          <w:color w:val="187C80"/>
        </w:rPr>
        <w:t xml:space="preserve">Sources  </w:t>
      </w:r>
      <w:r>
        <w:rPr>
          <w:color w:val="5F6973"/>
          <w:sz w:val="18"/>
        </w:rPr>
        <w:t>src/app/(app)/jobs; src/lib/job-search; src/app/(app)/startups; src/lib/startups; src/app/(app)/agent; src/lib/agent; DEVELOPMENT.md, “Job search” and “Job agent”.</w:t>
      </w:r>
    </w:p>
    <w:p>
      <w:pPr>
        <w:pStyle w:val="Heading2"/>
      </w:pPr>
      <w:r>
        <w:t>3. Applications and AI writing</w:t>
      </w:r>
    </w:p>
    <w:p>
      <w:r>
        <w:t>Start from a pasted posting or a saved result. Northstar extracts requirements, scores fit, and drafts a tailored resume, cover letter, and application email. Refine drafts in chat, edit or regenerate sections, undo edits, revisit earlier versions, and keep private notes.</w:t>
      </w:r>
    </w:p>
    <w:p>
      <w:r>
        <w:t>Choose an AI provider in Settings or through environment defaults. Supported options include Ollama/llama.cpp, LM Studio, Anthropic, Mistral, and OpenAI-compatible services. Hosted AI receives the prompt data needed for the task. Long-running work runs in background jobs and follows the configured task-data retention policy.</w:t>
      </w:r>
    </w:p>
    <w:p>
      <w:r>
        <w:t>The optional Claude connector can search and score jobs, read profile/application information, and save checked drafts. It cannot send or delete. Without a configured model, a task can be handed to a Claude chat.</w:t>
      </w:r>
    </w:p>
    <w:p>
      <w:pPr>
        <w:spacing w:before="20" w:after="180"/>
      </w:pPr>
      <w:r>
        <w:rPr>
          <w:b/>
          <w:color w:val="187C80"/>
        </w:rPr>
        <w:t xml:space="preserve">Sources  </w:t>
      </w:r>
      <w:r>
        <w:rPr>
          <w:color w:val="5F6973"/>
          <w:sz w:val="18"/>
        </w:rPr>
        <w:t>src/app/(app)/new; src/app/(app)/applications; src/lib/application-create.ts; src/lib/ai; src/lib/jobs; src/lib/connector; src/app/api/mcp; src/app/oauth; DEVELOPMENT.md, “AI provider”.</w:t>
      </w:r>
    </w:p>
    <w:p>
      <w:pPr>
        <w:pStyle w:val="Heading2"/>
      </w:pPr>
      <w:r>
        <w:t>4. Track applications and communicate</w:t>
      </w:r>
    </w:p>
    <w:p>
      <w:r>
        <w:t>Use a board or table to track applications and status history. The dashboard shows the application funnel, week-by-week trends, next actions, interviews, and calendar views. With Google configured, Northstar can send mail through Gmail after confirmation, show employer replies, draft responses, suggest free interview times, and synchronize interview events with Google Calendar.</w:t>
      </w:r>
    </w:p>
    <w:p>
      <w:pPr>
        <w:spacing w:before="20" w:after="180"/>
      </w:pPr>
      <w:r>
        <w:rPr>
          <w:b/>
          <w:color w:val="187C80"/>
        </w:rPr>
        <w:t xml:space="preserve">Sources  </w:t>
      </w:r>
      <w:r>
        <w:rPr>
          <w:color w:val="5F6973"/>
          <w:sz w:val="18"/>
        </w:rPr>
        <w:t>src/app/(app)/page.tsx; src/app/(app)/applications; src/app/(app)/calendar*; src/app/(app)/inbox; src/lib/google; prisma/schema.prisma.</w:t>
      </w:r>
    </w:p>
    <w:p>
      <w:pPr>
        <w:pStyle w:val="Heading2"/>
      </w:pPr>
      <w:r>
        <w:t>5. Manage and protect your data</w:t>
      </w:r>
    </w:p>
    <w:p>
      <w:r>
        <w:t>Export profile, settings, themes, applications, documents, chats, notes, and saved postings as JSON. Import an export to restore it; current data is replaced in a transaction after a safety backup. Download all tailored PDFs as a ZIP or delete all user data. Optional nightly app backups run at 03:00 server time; keep separate PostgreSQL backups too.</w:t>
      </w:r>
    </w:p>
    <w:p>
      <w:r>
        <w:t>In production, the usage ping asks for consent by default and sends nothing before consent. After consent, it sends a random install ID and version at most once per day. Development and tests do not send it.</w:t>
      </w:r>
    </w:p>
    <w:p>
      <w:pPr>
        <w:spacing w:before="20" w:after="180"/>
      </w:pPr>
      <w:r>
        <w:rPr>
          <w:b/>
          <w:color w:val="187C80"/>
        </w:rPr>
        <w:t xml:space="preserve">Sources  </w:t>
      </w:r>
      <w:r>
        <w:rPr>
          <w:color w:val="5F6973"/>
          <w:sz w:val="18"/>
        </w:rPr>
        <w:t>src/lib/data-export.ts; src/app/api/export; src/app/api/import; src/lib/backup*; src/lib/jobs/zip-pdfs.ts; src/lib/usage-ping.ts; PRIVACY.md.</w:t>
      </w:r>
    </w:p>
    <w:p>
      <w:pPr>
        <w:pStyle w:val="Heading1"/>
      </w:pPr>
      <w:r>
        <w:t>What you need to run it</w:t>
      </w:r>
    </w:p>
    <w:p>
      <w:pPr>
        <w:pStyle w:val="Heading2"/>
      </w:pPr>
      <w:r>
        <w:t>Required setup</w:t>
      </w:r>
    </w:p>
    <w:tbl>
      <w:tblPr>
        <w:tblStyle w:val="LightShading-Accent1"/>
        <w:tblW w:type="auto" w:w="0"/>
        <w:tblLook w:firstColumn="1" w:firstRow="1" w:lastColumn="0" w:lastRow="0" w:noHBand="0" w:noVBand="1" w:val="04A0"/>
      </w:tblPr>
      <w:tblGrid>
        <w:gridCol w:w="4939"/>
        <w:gridCol w:w="4939"/>
      </w:tblGrid>
      <w:tr>
        <w:tc>
          <w:tcPr>
            <w:tcW w:type="dxa" w:w="4939"/>
            <w:shd w:fill="17324D"/>
          </w:tcPr>
          <w:p>
            <w:r>
              <w:rPr>
                <w:b/>
                <w:color w:val="FFFFFF"/>
              </w:rPr>
              <w:t>Requirement</w:t>
            </w:r>
          </w:p>
        </w:tc>
        <w:tc>
          <w:tcPr>
            <w:tcW w:type="dxa" w:w="4939"/>
            <w:shd w:fill="17324D"/>
          </w:tcPr>
          <w:p>
            <w:r>
              <w:rPr>
                <w:b/>
                <w:color w:val="FFFFFF"/>
              </w:rPr>
              <w:t>What to configure</w:t>
            </w:r>
          </w:p>
        </w:tc>
      </w:tr>
      <w:tr>
        <w:tc>
          <w:tcPr>
            <w:tcW w:type="dxa" w:w="4939"/>
          </w:tcPr>
          <w:p>
            <w:pPr>
              <w:spacing w:after="60"/>
            </w:pPr>
            <w:r>
              <w:t>PostgreSQL</w:t>
            </w:r>
          </w:p>
        </w:tc>
        <w:tc>
          <w:tcPr>
            <w:tcW w:type="dxa" w:w="4939"/>
          </w:tcPr>
          <w:p>
            <w:pPr>
              <w:spacing w:after="60"/>
            </w:pPr>
            <w:r>
              <w:t>Set DATABASE_URL to the database connection string.</w:t>
            </w:r>
          </w:p>
        </w:tc>
      </w:tr>
      <w:tr>
        <w:tc>
          <w:tcPr>
            <w:tcW w:type="dxa" w:w="4939"/>
          </w:tcPr>
          <w:p>
            <w:pPr>
              <w:spacing w:after="60"/>
            </w:pPr>
            <w:r>
              <w:t>Sign-in password</w:t>
            </w:r>
          </w:p>
        </w:tc>
        <w:tc>
          <w:tcPr>
            <w:tcW w:type="dxa" w:w="4939"/>
          </w:tcPr>
          <w:p>
            <w:pPr>
              <w:spacing w:after="60"/>
            </w:pPr>
            <w:r>
              <w:t>Set NORTHSTAR_PASSWORD to a hash generated with the project’s hash-password command. Do not use the plain password.</w:t>
            </w:r>
          </w:p>
        </w:tc>
      </w:tr>
      <w:tr>
        <w:tc>
          <w:tcPr>
            <w:tcW w:type="dxa" w:w="4939"/>
          </w:tcPr>
          <w:p>
            <w:pPr>
              <w:spacing w:after="60"/>
            </w:pPr>
            <w:r>
              <w:t>Secret key</w:t>
            </w:r>
          </w:p>
        </w:tc>
        <w:tc>
          <w:tcPr>
            <w:tcW w:type="dxa" w:w="4939"/>
          </w:tcPr>
          <w:p>
            <w:pPr>
              <w:spacing w:after="60"/>
            </w:pPr>
            <w:r>
              <w:t>Set NORTHSTAR_SECRET to at least 32 random characters. It signs sessions and encrypts saved credentials. Rotating it signs users out and requires encrypted credentials to be entered again.</w:t>
            </w:r>
          </w:p>
        </w:tc>
      </w:tr>
      <w:tr>
        <w:tc>
          <w:tcPr>
            <w:tcW w:type="dxa" w:w="4939"/>
          </w:tcPr>
          <w:p>
            <w:pPr>
              <w:spacing w:after="60"/>
            </w:pPr>
            <w:r>
              <w:t>Runtime</w:t>
            </w:r>
          </w:p>
        </w:tc>
        <w:tc>
          <w:tcPr>
            <w:tcW w:type="dxa" w:w="4939"/>
          </w:tcPr>
          <w:p>
            <w:pPr>
              <w:spacing w:after="60"/>
            </w:pPr>
            <w:r>
              <w:t>Docker Compose is the documented deployment path. The app container includes Chromium for PDF rendering.</w:t>
            </w:r>
          </w:p>
        </w:tc>
      </w:tr>
      <w:tr>
        <w:tc>
          <w:tcPr>
            <w:tcW w:type="dxa" w:w="4939"/>
          </w:tcPr>
          <w:p>
            <w:pPr>
              <w:spacing w:after="60"/>
            </w:pPr>
            <w:r>
              <w:t>One app instance</w:t>
            </w:r>
          </w:p>
        </w:tc>
        <w:tc>
          <w:tcPr>
            <w:tcW w:type="dxa" w:w="4939"/>
          </w:tcPr>
          <w:p>
            <w:pPr>
              <w:spacing w:after="60"/>
            </w:pPr>
            <w:r>
              <w:t>Run one Northstar instance per database. Background jobs, PDF rendering, the agent schedule, and nightly backups run in-process.</w:t>
            </w:r>
          </w:p>
        </w:tc>
      </w:tr>
    </w:tbl>
    <w:p>
      <w:pPr>
        <w:spacing w:after="0"/>
      </w:pPr>
    </w:p>
    <w:p>
      <w:pPr>
        <w:pStyle w:val="Heading2"/>
      </w:pPr>
      <w:r>
        <w:t>Optional integrations</w:t>
      </w:r>
    </w:p>
    <w:tbl>
      <w:tblPr>
        <w:tblStyle w:val="LightShading-Accent1"/>
        <w:tblW w:type="auto" w:w="0"/>
        <w:tblLook w:firstColumn="1" w:firstRow="1" w:lastColumn="0" w:lastRow="0" w:noHBand="0" w:noVBand="1" w:val="04A0"/>
      </w:tblPr>
      <w:tblGrid>
        <w:gridCol w:w="4939"/>
        <w:gridCol w:w="4939"/>
      </w:tblGrid>
      <w:tr>
        <w:tc>
          <w:tcPr>
            <w:tcW w:type="dxa" w:w="4939"/>
            <w:shd w:fill="17324D"/>
          </w:tcPr>
          <w:p>
            <w:r>
              <w:rPr>
                <w:b/>
                <w:color w:val="FFFFFF"/>
              </w:rPr>
              <w:t>Integration</w:t>
            </w:r>
          </w:p>
        </w:tc>
        <w:tc>
          <w:tcPr>
            <w:tcW w:type="dxa" w:w="4939"/>
            <w:shd w:fill="17324D"/>
          </w:tcPr>
          <w:p>
            <w:r>
              <w:rPr>
                <w:b/>
                <w:color w:val="FFFFFF"/>
              </w:rPr>
              <w:t>Additional setup</w:t>
            </w:r>
          </w:p>
        </w:tc>
      </w:tr>
      <w:tr>
        <w:tc>
          <w:tcPr>
            <w:tcW w:type="dxa" w:w="4939"/>
          </w:tcPr>
          <w:p>
            <w:pPr>
              <w:spacing w:after="60"/>
            </w:pPr>
            <w:r>
              <w:t>AI provider</w:t>
            </w:r>
          </w:p>
        </w:tc>
        <w:tc>
          <w:tcPr>
            <w:tcW w:type="dxa" w:w="4939"/>
          </w:tcPr>
          <w:p>
            <w:pPr>
              <w:spacing w:after="60"/>
            </w:pPr>
            <w:r>
              <w:t>Choose a provider and model. Hosted providers need a key; local providers need a model server reachable from the app. Environment defaults use NORTHSTAR_AI_*.</w:t>
            </w:r>
          </w:p>
        </w:tc>
      </w:tr>
      <w:tr>
        <w:tc>
          <w:tcPr>
            <w:tcW w:type="dxa" w:w="4939"/>
          </w:tcPr>
          <w:p>
            <w:pPr>
              <w:spacing w:after="60"/>
            </w:pPr>
            <w:r>
              <w:t>Job search</w:t>
            </w:r>
          </w:p>
        </w:tc>
        <w:tc>
          <w:tcPr>
            <w:tcW w:type="dxa" w:w="4939"/>
          </w:tcPr>
          <w:p>
            <w:pPr>
              <w:spacing w:after="60"/>
            </w:pPr>
            <w:r>
              <w:t>JSearch needs an OpenWeb Ninja or RapidAPI key. Adzuna needs an app ID and key. FreeHire needs no key. Arbeitsagentur is unofficial, Germany-only, and excluded from the agent.</w:t>
            </w:r>
          </w:p>
        </w:tc>
      </w:tr>
      <w:tr>
        <w:tc>
          <w:tcPr>
            <w:tcW w:type="dxa" w:w="4939"/>
          </w:tcPr>
          <w:p>
            <w:pPr>
              <w:spacing w:after="60"/>
            </w:pPr>
            <w:r>
              <w:t>Google</w:t>
            </w:r>
          </w:p>
        </w:tc>
        <w:tc>
          <w:tcPr>
            <w:tcW w:type="dxa" w:w="4939"/>
          </w:tcPr>
          <w:p>
            <w:pPr>
              <w:spacing w:after="60"/>
            </w:pPr>
            <w:r>
              <w:t>Create an OAuth web client, enable Gmail and Calendar APIs, and set the callback to /api/google/callback. Credentials can be entered in Settings or supplied with NORTHSTAR_GOOGLE_CLIENT_ID and NORTHSTAR_GOOGLE_CLIENT_SECRET.</w:t>
            </w:r>
          </w:p>
        </w:tc>
      </w:tr>
      <w:tr>
        <w:tc>
          <w:tcPr>
            <w:tcW w:type="dxa" w:w="4939"/>
          </w:tcPr>
          <w:p>
            <w:pPr>
              <w:spacing w:after="60"/>
            </w:pPr>
            <w:r>
              <w:t>Public address</w:t>
            </w:r>
          </w:p>
        </w:tc>
        <w:tc>
          <w:tcPr>
            <w:tcW w:type="dxa" w:w="4939"/>
          </w:tcPr>
          <w:p>
            <w:pPr>
              <w:spacing w:after="60"/>
            </w:pPr>
            <w:r>
              <w:t>Set NORTHSTAR_PUBLIC_URL if the browser address differs from the detected one, especially for Google redirects.</w:t>
            </w:r>
          </w:p>
        </w:tc>
      </w:tr>
      <w:tr>
        <w:tc>
          <w:tcPr>
            <w:tcW w:type="dxa" w:w="4939"/>
          </w:tcPr>
          <w:p>
            <w:pPr>
              <w:spacing w:after="60"/>
            </w:pPr>
            <w:r>
              <w:t>Claude</w:t>
            </w:r>
          </w:p>
        </w:tc>
        <w:tc>
          <w:tcPr>
            <w:tcW w:type="dxa" w:w="4939"/>
          </w:tcPr>
          <w:p>
            <w:pPr>
              <w:spacing w:after="60"/>
            </w:pPr>
            <w:r>
              <w:t>Enable the connector in Settings. Claude-hosted clients need a public HTTPS address.</w:t>
            </w:r>
          </w:p>
        </w:tc>
      </w:tr>
      <w:tr>
        <w:tc>
          <w:tcPr>
            <w:tcW w:type="dxa" w:w="4939"/>
          </w:tcPr>
          <w:p>
            <w:pPr>
              <w:spacing w:after="60"/>
            </w:pPr>
            <w:r>
              <w:t>Usage ping</w:t>
            </w:r>
          </w:p>
        </w:tc>
        <w:tc>
          <w:tcPr>
            <w:tcW w:type="dxa" w:w="4939"/>
          </w:tcPr>
          <w:p>
            <w:pPr>
              <w:spacing w:after="60"/>
            </w:pPr>
            <w:r>
              <w:t>Set NORTHSTAR_TELEMETRY=on or off to record a choice in advance. If unset, production asks after sign-in.</w:t>
            </w:r>
          </w:p>
        </w:tc>
      </w:tr>
    </w:tbl>
    <w:p>
      <w:pPr>
        <w:spacing w:after="0"/>
      </w:pPr>
    </w:p>
    <w:p>
      <w:pPr>
        <w:spacing w:before="20" w:after="180"/>
      </w:pPr>
      <w:r>
        <w:rPr>
          <w:b/>
          <w:color w:val="187C80"/>
        </w:rPr>
        <w:t xml:space="preserve">Sources  </w:t>
      </w:r>
      <w:r>
        <w:rPr>
          <w:color w:val="5F6973"/>
          <w:sz w:val="18"/>
        </w:rPr>
        <w:t>.env.example; src/lib/env.ts; compose.yml; compose.production.yml; Dockerfile; DEVELOPMENT.md.</w:t>
      </w:r>
    </w:p>
    <w:p>
      <w:pPr>
        <w:pStyle w:val="Heading1"/>
      </w:pPr>
      <w:r>
        <w:t>Limits to know about</w:t>
      </w:r>
    </w:p>
    <w:p>
      <w:pPr>
        <w:pStyle w:val="ListBullet"/>
      </w:pPr>
      <w:r>
        <w:t>Northstar is designed for one user; it does not include accounts or multi-tenant access.</w:t>
      </w:r>
    </w:p>
    <w:p>
      <w:pPr>
        <w:pStyle w:val="ListBullet"/>
      </w:pPr>
      <w:r>
        <w:t>Nightly app backups do not replace PostgreSQL backups.</w:t>
      </w:r>
    </w:p>
    <w:p>
      <w:pPr>
        <w:pStyle w:val="ListBullet"/>
      </w:pPr>
      <w:r>
        <w:t>Import files are limited to 10 MB.</w:t>
      </w:r>
    </w:p>
    <w:p>
      <w:pPr>
        <w:pStyle w:val="ListBullet"/>
      </w:pPr>
      <w:r>
        <w:t>PDF rendering uses Chromium; the README recommends at least 768 MB of container memory.</w:t>
      </w:r>
    </w:p>
    <w:p>
      <w:pPr>
        <w:pStyle w:val="ListBullet"/>
      </w:pPr>
      <w:r>
        <w:t>JSearch and Adzuna may consume provider quota. Search results are cached in memory for 30 minutes.</w:t>
      </w:r>
    </w:p>
    <w:p>
      <w:pPr>
        <w:pStyle w:val="ListBullet"/>
      </w:pPr>
      <w:r>
        <w:t>AI providers receive the prompt data needed for each task. See PRIVACY.md for details on data sharing and external requests.</w:t>
      </w:r>
    </w:p>
    <w:p>
      <w:pPr>
        <w:spacing w:before="20" w:after="180"/>
      </w:pPr>
      <w:r>
        <w:rPr>
          <w:b/>
          <w:color w:val="187C80"/>
        </w:rPr>
        <w:t xml:space="preserve">Sources  </w:t>
      </w:r>
      <w:r>
        <w:rPr>
          <w:color w:val="5F6973"/>
          <w:sz w:val="18"/>
        </w:rPr>
        <w:t>README.md, “Known limitations” and “Performance and sizing”; DEVELOPMENT.md, “Import size limit” and “Job search”; PRIVACY.md.</w:t>
      </w:r>
    </w:p>
    <w:p>
      <w:pPr>
        <w:pStyle w:val="Heading1"/>
      </w:pPr>
      <w:r>
        <w:t>Where to find things</w:t>
      </w:r>
    </w:p>
    <w:tbl>
      <w:tblPr>
        <w:tblStyle w:val="LightShading-Accent1"/>
        <w:tblW w:type="auto" w:w="0"/>
        <w:tblLook w:firstColumn="1" w:firstRow="1" w:lastColumn="0" w:lastRow="0" w:noHBand="0" w:noVBand="1" w:val="04A0"/>
      </w:tblPr>
      <w:tblGrid>
        <w:gridCol w:w="4939"/>
        <w:gridCol w:w="4939"/>
      </w:tblGrid>
      <w:tr>
        <w:tc>
          <w:tcPr>
            <w:tcW w:type="dxa" w:w="4939"/>
            <w:shd w:fill="17324D"/>
          </w:tcPr>
          <w:p>
            <w:r>
              <w:rPr>
                <w:b/>
                <w:color w:val="FFFFFF"/>
              </w:rPr>
              <w:t>Screen</w:t>
            </w:r>
          </w:p>
        </w:tc>
        <w:tc>
          <w:tcPr>
            <w:tcW w:type="dxa" w:w="4939"/>
            <w:shd w:fill="17324D"/>
          </w:tcPr>
          <w:p>
            <w:r>
              <w:rPr>
                <w:b/>
                <w:color w:val="FFFFFF"/>
              </w:rPr>
              <w:t>Route</w:t>
            </w:r>
          </w:p>
        </w:tc>
      </w:tr>
      <w:tr>
        <w:tc>
          <w:tcPr>
            <w:tcW w:type="dxa" w:w="4939"/>
          </w:tcPr>
          <w:p>
            <w:pPr>
              <w:spacing w:after="60"/>
            </w:pPr>
            <w:r>
              <w:t>Dashboard</w:t>
            </w:r>
          </w:p>
        </w:tc>
        <w:tc>
          <w:tcPr>
            <w:tcW w:type="dxa" w:w="4939"/>
          </w:tcPr>
          <w:p>
            <w:pPr>
              <w:spacing w:after="60"/>
            </w:pPr>
            <w:r>
              <w:t>/</w:t>
            </w:r>
          </w:p>
        </w:tc>
      </w:tr>
      <w:tr>
        <w:tc>
          <w:tcPr>
            <w:tcW w:type="dxa" w:w="4939"/>
          </w:tcPr>
          <w:p>
            <w:pPr>
              <w:spacing w:after="60"/>
            </w:pPr>
            <w:r>
              <w:t>Applications</w:t>
            </w:r>
          </w:p>
        </w:tc>
        <w:tc>
          <w:tcPr>
            <w:tcW w:type="dxa" w:w="4939"/>
          </w:tcPr>
          <w:p>
            <w:pPr>
              <w:spacing w:after="60"/>
            </w:pPr>
            <w:r>
              <w:t>/applications</w:t>
            </w:r>
          </w:p>
        </w:tc>
      </w:tr>
      <w:tr>
        <w:tc>
          <w:tcPr>
            <w:tcW w:type="dxa" w:w="4939"/>
          </w:tcPr>
          <w:p>
            <w:pPr>
              <w:spacing w:after="60"/>
            </w:pPr>
            <w:r>
              <w:t>Find jobs</w:t>
            </w:r>
          </w:p>
        </w:tc>
        <w:tc>
          <w:tcPr>
            <w:tcW w:type="dxa" w:w="4939"/>
          </w:tcPr>
          <w:p>
            <w:pPr>
              <w:spacing w:after="60"/>
            </w:pPr>
            <w:r>
              <w:t>/jobs</w:t>
            </w:r>
          </w:p>
        </w:tc>
      </w:tr>
      <w:tr>
        <w:tc>
          <w:tcPr>
            <w:tcW w:type="dxa" w:w="4939"/>
          </w:tcPr>
          <w:p>
            <w:pPr>
              <w:spacing w:after="60"/>
            </w:pPr>
            <w:r>
              <w:t>Startups</w:t>
            </w:r>
          </w:p>
        </w:tc>
        <w:tc>
          <w:tcPr>
            <w:tcW w:type="dxa" w:w="4939"/>
          </w:tcPr>
          <w:p>
            <w:pPr>
              <w:spacing w:after="60"/>
            </w:pPr>
            <w:r>
              <w:t>/startups</w:t>
            </w:r>
          </w:p>
        </w:tc>
      </w:tr>
      <w:tr>
        <w:tc>
          <w:tcPr>
            <w:tcW w:type="dxa" w:w="4939"/>
          </w:tcPr>
          <w:p>
            <w:pPr>
              <w:spacing w:after="60"/>
            </w:pPr>
            <w:r>
              <w:t>Job agent</w:t>
            </w:r>
          </w:p>
        </w:tc>
        <w:tc>
          <w:tcPr>
            <w:tcW w:type="dxa" w:w="4939"/>
          </w:tcPr>
          <w:p>
            <w:pPr>
              <w:spacing w:after="60"/>
            </w:pPr>
            <w:r>
              <w:t>/agent</w:t>
            </w:r>
          </w:p>
        </w:tc>
      </w:tr>
      <w:tr>
        <w:tc>
          <w:tcPr>
            <w:tcW w:type="dxa" w:w="4939"/>
          </w:tcPr>
          <w:p>
            <w:pPr>
              <w:spacing w:after="60"/>
            </w:pPr>
            <w:r>
              <w:t>New application</w:t>
            </w:r>
          </w:p>
        </w:tc>
        <w:tc>
          <w:tcPr>
            <w:tcW w:type="dxa" w:w="4939"/>
          </w:tcPr>
          <w:p>
            <w:pPr>
              <w:spacing w:after="60"/>
            </w:pPr>
            <w:r>
              <w:t>/new</w:t>
            </w:r>
          </w:p>
        </w:tc>
      </w:tr>
      <w:tr>
        <w:tc>
          <w:tcPr>
            <w:tcW w:type="dxa" w:w="4939"/>
          </w:tcPr>
          <w:p>
            <w:pPr>
              <w:spacing w:after="60"/>
            </w:pPr>
            <w:r>
              <w:t>Profile</w:t>
            </w:r>
          </w:p>
        </w:tc>
        <w:tc>
          <w:tcPr>
            <w:tcW w:type="dxa" w:w="4939"/>
          </w:tcPr>
          <w:p>
            <w:pPr>
              <w:spacing w:after="60"/>
            </w:pPr>
            <w:r>
              <w:t>/profile</w:t>
            </w:r>
          </w:p>
        </w:tc>
      </w:tr>
      <w:tr>
        <w:tc>
          <w:tcPr>
            <w:tcW w:type="dxa" w:w="4939"/>
          </w:tcPr>
          <w:p>
            <w:pPr>
              <w:spacing w:after="60"/>
            </w:pPr>
            <w:r>
              <w:t>Resume and themes</w:t>
            </w:r>
          </w:p>
        </w:tc>
        <w:tc>
          <w:tcPr>
            <w:tcW w:type="dxa" w:w="4939"/>
          </w:tcPr>
          <w:p>
            <w:pPr>
              <w:spacing w:after="60"/>
            </w:pPr>
            <w:r>
              <w:t>/resume</w:t>
            </w:r>
          </w:p>
        </w:tc>
      </w:tr>
      <w:tr>
        <w:tc>
          <w:tcPr>
            <w:tcW w:type="dxa" w:w="4939"/>
          </w:tcPr>
          <w:p>
            <w:pPr>
              <w:spacing w:after="60"/>
            </w:pPr>
            <w:r>
              <w:t>Inbox</w:t>
            </w:r>
          </w:p>
        </w:tc>
        <w:tc>
          <w:tcPr>
            <w:tcW w:type="dxa" w:w="4939"/>
          </w:tcPr>
          <w:p>
            <w:pPr>
              <w:spacing w:after="60"/>
            </w:pPr>
            <w:r>
              <w:t>/inbox</w:t>
            </w:r>
          </w:p>
        </w:tc>
      </w:tr>
      <w:tr>
        <w:tc>
          <w:tcPr>
            <w:tcW w:type="dxa" w:w="4939"/>
          </w:tcPr>
          <w:p>
            <w:pPr>
              <w:spacing w:after="60"/>
            </w:pPr>
            <w:r>
              <w:t>Settings</w:t>
            </w:r>
          </w:p>
        </w:tc>
        <w:tc>
          <w:tcPr>
            <w:tcW w:type="dxa" w:w="4939"/>
          </w:tcPr>
          <w:p>
            <w:pPr>
              <w:spacing w:after="60"/>
            </w:pPr>
            <w:r>
              <w:t>/settings</w:t>
            </w:r>
          </w:p>
        </w:tc>
      </w:tr>
    </w:tbl>
    <w:p>
      <w:pPr>
        <w:spacing w:after="0"/>
      </w:pPr>
    </w:p>
    <w:p>
      <w:r>
        <w:t>Implementation references: user interface in src/app/(app); API endpoints in src/app/api; data model in prisma/schema.prisma; feature logic in src/lib and src/components. Automated checks live in src/**/*.test.*, src/**/*.db.test.*, and e2e/*.spec.ts.</w:t>
      </w:r>
    </w:p>
    <w:p>
      <w:pPr>
        <w:pStyle w:val="Heading1"/>
      </w:pPr>
      <w:r>
        <w:t>Repository references</w:t>
      </w:r>
    </w:p>
    <w:p>
      <w:pPr>
        <w:pStyle w:val="ListBullet"/>
      </w:pPr>
      <w:r>
        <w:t>README.md — product overview, deployment, limits, and performance.</w:t>
      </w:r>
    </w:p>
    <w:p>
      <w:pPr>
        <w:pStyle w:val="ListBullet"/>
      </w:pPr>
      <w:r>
        <w:t>DEVELOPMENT.md — setup, implementation details, integrations, and data lifecycle.</w:t>
      </w:r>
    </w:p>
    <w:p>
      <w:pPr>
        <w:pStyle w:val="ListBullet"/>
      </w:pPr>
      <w:r>
        <w:t>PRIVACY.md — data storage, external services, and usage ping.</w:t>
      </w:r>
    </w:p>
    <w:p>
      <w:pPr>
        <w:pStyle w:val="ListBullet"/>
      </w:pPr>
      <w:r>
        <w:t>SECURITY.md — security assumptions and safe operation.</w:t>
      </w:r>
    </w:p>
    <w:p>
      <w:pPr>
        <w:pStyle w:val="ListBullet"/>
      </w:pPr>
      <w:r>
        <w:t>.env.example and src/lib/env.ts — configuration variables and validation.</w:t>
      </w:r>
    </w:p>
    <w:p>
      <w:pPr>
        <w:pStyle w:val="ListBullet"/>
      </w:pPr>
      <w:r>
        <w:t>prisma/schema.prisma — database entities and relationships.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Feature and setup overview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87C80"/>
      </w:rPr>
      <w:t>NORTHSTAR  /  PRODUCT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C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