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AI-Powered Interview Coach Bot for Job Preparation: A Comprehensive Machine Learning Approach</w:t>
      </w:r>
    </w:p>
    <w:p>
      <w:pPr>
        <w:jc w:val="center"/>
      </w:pPr>
      <w:r>
        <w:rPr>
          <w:rFonts w:ascii="Times New Roman" w:hAnsi="Times New Roman"/>
          <w:i/>
          <w:sz w:val="22"/>
        </w:rPr>
        <w:t>Yash</w:t>
        <w:br/>
        <w:t>AI Research &amp; Development</w:t>
        <w:br/>
        <w:t>GitHub: knowsyash</w:t>
      </w:r>
    </w:p>
    <w:p/>
    <w:p>
      <w:r>
        <w:rPr>
          <w:rFonts w:ascii="Times New Roman" w:hAnsi="Times New Roman"/>
          <w:b/>
          <w:i/>
          <w:sz w:val="20"/>
        </w:rPr>
        <w:t>Abstract</w:t>
      </w:r>
    </w:p>
    <w:p>
      <w:pPr>
        <w:jc w:val="both"/>
      </w:pPr>
      <w:r>
        <w:rPr>
          <w:rFonts w:ascii="Times New Roman" w:hAnsi="Times New Roman"/>
          <w:sz w:val="20"/>
        </w:rPr>
        <w:t>This research presents a comprehensive AI-powered interview coaching system that automates the evaluation of interview responses using advanced machine learning techniques. The system integrates natural language processing, feature engineering, and ensemble learning methods to predict interview performance scores with 74.75% exact match accuracy and 97.66% within ±1 accuracy on a diverse dataset of 3,334 interview question-answer pairs. Our approach combines traditional machine learning models (Random Forest, Gradient Boosting, SVM) with 23 carefully engineered features extracted from STAR-format interview responses. The system demonstrates performance competitive with or superior to recent research in automated interview assessment, while maintaining high reliability through rigorous evaluation on 1,667 test samples. This work contributes to the growing field of AI-assisted recruitment by providing both a production-ready chatbot interface and a validated research framework for interview scoring.</w:t>
      </w:r>
    </w:p>
    <w:p>
      <w:r>
        <w:rPr>
          <w:rFonts w:ascii="Times New Roman" w:hAnsi="Times New Roman"/>
          <w:b/>
          <w:i/>
          <w:sz w:val="20"/>
        </w:rPr>
        <w:t>Keywords—</w:t>
      </w:r>
      <w:r>
        <w:rPr>
          <w:rFonts w:ascii="Times New Roman" w:hAnsi="Times New Roman"/>
          <w:sz w:val="20"/>
        </w:rPr>
        <w:t>Automated Interview Scoring, Machine Learning, Natural Language Processing, STAR Format, Interview Coaching, AI Recruitment, Feature Engineering, Random Forest, Gradient Boosting</w:t>
      </w:r>
    </w:p>
    <w:p/>
    <w:p>
      <w:pPr>
        <w:spacing w:before="240" w:after="120"/>
      </w:pPr>
      <w:r>
        <w:rPr>
          <w:rFonts w:ascii="Times New Roman" w:hAnsi="Times New Roman"/>
          <w:b/>
          <w:color w:val="000000"/>
          <w:sz w:val="22"/>
        </w:rPr>
        <w:t>I. INTRODUCTION</w:t>
      </w:r>
    </w:p>
    <w:p>
      <w:pPr>
        <w:spacing w:before="120" w:after="60"/>
      </w:pPr>
      <w:r>
        <w:rPr>
          <w:rFonts w:ascii="Times New Roman" w:hAnsi="Times New Roman"/>
          <w:b/>
          <w:i/>
          <w:sz w:val="20"/>
        </w:rPr>
        <w:t>A. Background and Motivation</w:t>
      </w:r>
    </w:p>
    <w:p>
      <w:pPr>
        <w:spacing w:after="120" w:line="240" w:lineRule="auto"/>
        <w:jc w:val="both"/>
      </w:pPr>
      <w:r>
        <w:rPr>
          <w:rFonts w:ascii="Times New Roman" w:hAnsi="Times New Roman"/>
          <w:sz w:val="20"/>
        </w:rPr>
        <w:t>Job interviews serve as critical gatekeepers in the hiring process, yet they suffer from several well-documented limitations. First, human evaluators often provide subjective and inconsistent assessments, leading to unreliable hiring decisions. Second, unconscious biases can significantly affect interview outcomes, potentially disadvantaging qualified candidates. Third, manual evaluation is time-consuming and expensive, limiting scalability for high-volume recruitment. Finally, candidates rarely receive detailed, actionable feedback to improve their interview performance.</w:t>
        <w:br/>
        <w:br/>
        <w:t>Recent advances in artificial intelligence, particularly in natural language processing (NLP) and large language models (LLMs), have opened new possibilities for automating interview assessment. However, existing solutions often lack transparency, suffer from bias, or fail to provide meaningful feedback to candidates.</w:t>
      </w:r>
    </w:p>
    <w:p>
      <w:pPr>
        <w:spacing w:before="120" w:after="60"/>
      </w:pPr>
      <w:r>
        <w:rPr>
          <w:rFonts w:ascii="Times New Roman" w:hAnsi="Times New Roman"/>
          <w:b/>
          <w:i/>
          <w:sz w:val="20"/>
        </w:rPr>
        <w:t>B. Research Objectives</w:t>
      </w:r>
    </w:p>
    <w:p>
      <w:pPr>
        <w:spacing w:after="120" w:line="240" w:lineRule="auto"/>
        <w:jc w:val="both"/>
      </w:pPr>
      <w:r>
        <w:rPr>
          <w:rFonts w:ascii="Times New Roman" w:hAnsi="Times New Roman"/>
          <w:sz w:val="20"/>
        </w:rPr>
        <w:t>This research addresses these challenges by developing a comprehensive AI-powered interview coaching system with the following objectives:</w:t>
      </w:r>
    </w:p>
    <w:p>
      <w:pPr>
        <w:ind w:left="360"/>
        <w:jc w:val="both"/>
      </w:pPr>
      <w:r>
        <w:rPr>
          <w:rFonts w:ascii="Times New Roman" w:hAnsi="Times New Roman"/>
          <w:sz w:val="20"/>
        </w:rPr>
        <w:t>1) Automated Scoring: Develop machine learning models to accurately predict interview performance scores on a 1-5 scale</w:t>
      </w:r>
    </w:p>
    <w:p>
      <w:pPr>
        <w:ind w:left="360"/>
        <w:jc w:val="both"/>
      </w:pPr>
      <w:r>
        <w:rPr>
          <w:rFonts w:ascii="Times New Roman" w:hAnsi="Times New Roman"/>
          <w:sz w:val="20"/>
        </w:rPr>
        <w:t>2) STAR Format Recognition: Identify and evaluate responses using the Situation-Task-Action-Result framework</w:t>
      </w:r>
    </w:p>
    <w:p>
      <w:pPr>
        <w:ind w:left="360"/>
        <w:jc w:val="both"/>
      </w:pPr>
      <w:r>
        <w:rPr>
          <w:rFonts w:ascii="Times New Roman" w:hAnsi="Times New Roman"/>
          <w:sz w:val="20"/>
        </w:rPr>
        <w:t>3) Real-time Feedback: Provide immediate, actionable feedback to interview candidates</w:t>
      </w:r>
    </w:p>
    <w:p>
      <w:pPr>
        <w:ind w:left="360"/>
        <w:jc w:val="both"/>
      </w:pPr>
      <w:r>
        <w:rPr>
          <w:rFonts w:ascii="Times New Roman" w:hAnsi="Times New Roman"/>
          <w:sz w:val="20"/>
        </w:rPr>
        <w:t>4) Competency Assessment: Evaluate responses across 12 competency dimensions including Leadership, Communication, and Technical Skills</w:t>
      </w:r>
    </w:p>
    <w:p>
      <w:pPr>
        <w:ind w:left="360"/>
        <w:jc w:val="both"/>
      </w:pPr>
      <w:r>
        <w:rPr>
          <w:rFonts w:ascii="Times New Roman" w:hAnsi="Times New Roman"/>
          <w:sz w:val="20"/>
        </w:rPr>
        <w:t>5) Scalability: Support deployment as both a research tool and production chatbot</w:t>
      </w:r>
    </w:p>
    <w:p>
      <w:pPr>
        <w:ind w:left="360"/>
        <w:jc w:val="both"/>
      </w:pPr>
      <w:r>
        <w:rPr>
          <w:rFonts w:ascii="Times New Roman" w:hAnsi="Times New Roman"/>
          <w:sz w:val="20"/>
        </w:rPr>
        <w:t>6) Unified Architecture: Ensure research findings directly apply to production systems</w:t>
      </w:r>
    </w:p>
    <w:p>
      <w:pPr>
        <w:spacing w:before="120" w:after="60"/>
      </w:pPr>
      <w:r>
        <w:rPr>
          <w:rFonts w:ascii="Times New Roman" w:hAnsi="Times New Roman"/>
          <w:b/>
          <w:i/>
          <w:sz w:val="20"/>
        </w:rPr>
        <w:t>C. Novel Contributions</w:t>
      </w:r>
    </w:p>
    <w:p>
      <w:pPr>
        <w:spacing w:after="120" w:line="240" w:lineRule="auto"/>
        <w:jc w:val="both"/>
      </w:pPr>
      <w:r>
        <w:rPr>
          <w:rFonts w:ascii="Times New Roman" w:hAnsi="Times New Roman"/>
          <w:sz w:val="20"/>
        </w:rPr>
        <w:t>This work makes several key contributions to the field of automated interview assessment:</w:t>
      </w:r>
    </w:p>
    <w:p>
      <w:pPr>
        <w:ind w:left="360"/>
        <w:jc w:val="both"/>
      </w:pPr>
      <w:r>
        <w:rPr>
          <w:rFonts w:ascii="Times New Roman" w:hAnsi="Times New Roman"/>
          <w:sz w:val="20"/>
        </w:rPr>
        <w:t>• Large-scale Dataset: Curated and integrated 3,334 interview question-answer pairs from 7 diverse sources, representing a 2.27× expansion from the original dataset</w:t>
      </w:r>
    </w:p>
    <w:p>
      <w:pPr>
        <w:ind w:left="360"/>
        <w:jc w:val="both"/>
      </w:pPr>
      <w:r>
        <w:rPr>
          <w:rFonts w:ascii="Times New Roman" w:hAnsi="Times New Roman"/>
          <w:sz w:val="20"/>
        </w:rPr>
        <w:t>• Advanced Feature Engineering: Developed 23 specialized features capturing linguistic, structural, and content-based characteristics of interview responses</w:t>
      </w:r>
    </w:p>
    <w:p>
      <w:pPr>
        <w:ind w:left="360"/>
        <w:jc w:val="both"/>
      </w:pPr>
      <w:r>
        <w:rPr>
          <w:rFonts w:ascii="Times New Roman" w:hAnsi="Times New Roman"/>
          <w:sz w:val="20"/>
        </w:rPr>
        <w:t>• Unified Architecture: Created a single shared dataset architecture for both research validation and production deployment, eliminating data drift</w:t>
      </w:r>
    </w:p>
    <w:p>
      <w:pPr>
        <w:ind w:left="360"/>
        <w:jc w:val="both"/>
      </w:pPr>
      <w:r>
        <w:rPr>
          <w:rFonts w:ascii="Times New Roman" w:hAnsi="Times New Roman"/>
          <w:sz w:val="20"/>
        </w:rPr>
        <w:t>• High Accuracy: Achieved 74.75% exact match accuracy and 97.66% within ±1 accuracy, competitive with state-of-the-art systems</w:t>
      </w:r>
    </w:p>
    <w:p>
      <w:pPr>
        <w:ind w:left="360"/>
        <w:jc w:val="both"/>
      </w:pPr>
      <w:r>
        <w:rPr>
          <w:rFonts w:ascii="Times New Roman" w:hAnsi="Times New Roman"/>
          <w:sz w:val="20"/>
        </w:rPr>
        <w:t>• Production System: Deployed a working chatbot interface for real-world interview preparation</w:t>
      </w:r>
    </w:p>
    <w:p>
      <w:pPr>
        <w:ind w:left="360"/>
        <w:jc w:val="both"/>
      </w:pPr>
      <w:r>
        <w:rPr>
          <w:rFonts w:ascii="Times New Roman" w:hAnsi="Times New Roman"/>
          <w:sz w:val="20"/>
        </w:rPr>
        <w:t>• Rigorous Evaluation: Evaluated on 1,667 test samples, 5× larger than typical research studies</w:t>
      </w:r>
    </w:p>
    <w:p>
      <w:pPr>
        <w:spacing w:before="240" w:after="120"/>
      </w:pPr>
      <w:r>
        <w:rPr>
          <w:rFonts w:ascii="Times New Roman" w:hAnsi="Times New Roman"/>
          <w:b/>
          <w:color w:val="000000"/>
          <w:sz w:val="22"/>
        </w:rPr>
        <w:t>II. RELATED WORK</w:t>
      </w:r>
    </w:p>
    <w:p>
      <w:pPr>
        <w:spacing w:before="120" w:after="60"/>
      </w:pPr>
      <w:r>
        <w:rPr>
          <w:rFonts w:ascii="Times New Roman" w:hAnsi="Times New Roman"/>
          <w:b/>
          <w:i/>
          <w:sz w:val="20"/>
        </w:rPr>
        <w:t>A. Automated Interview Scoring</w:t>
      </w:r>
    </w:p>
    <w:p>
      <w:pPr>
        <w:spacing w:after="120" w:line="240" w:lineRule="auto"/>
        <w:jc w:val="both"/>
      </w:pPr>
      <w:r>
        <w:rPr>
          <w:rFonts w:ascii="Times New Roman" w:hAnsi="Times New Roman"/>
          <w:sz w:val="20"/>
        </w:rPr>
        <w:t>Recent research in automated interview assessment has explored various computational approaches. Maity et al. [1] investigated zero-shot and few-shot pre-trained LLMs for HR interview transcript analysis, introducing the HURIT dataset. Their work demonstrated that LLMs can provide scores, identify errors, and offer feedback comparable to human evaluators. Similarly, Geathers et al. [2] benchmarked generative AI for scoring medical student interviews in Objective Structured Clinical Examinations (OSCEs), showing promising results for automated assessment in healthcare education.</w:t>
        <w:br/>
        <w:br/>
        <w:t>Uppalapati et al. [3] presented an AI-driven mock interview assessment system leveraging generative language models for automated evaluation. Thompson et al. [4] evaluated deep learning algorithms for automating the scoring of open-ended assessments in employee selection, demonstrating the potential of neural approaches.</w:t>
      </w:r>
    </w:p>
    <w:p>
      <w:pPr>
        <w:spacing w:before="120" w:after="60"/>
      </w:pPr>
      <w:r>
        <w:rPr>
          <w:rFonts w:ascii="Times New Roman" w:hAnsi="Times New Roman"/>
          <w:b/>
          <w:i/>
          <w:sz w:val="20"/>
        </w:rPr>
        <w:t>B. STAR Format and Behavioral Interviews</w:t>
      </w:r>
    </w:p>
    <w:p>
      <w:pPr>
        <w:spacing w:after="120" w:line="240" w:lineRule="auto"/>
        <w:jc w:val="both"/>
      </w:pPr>
      <w:r>
        <w:rPr>
          <w:rFonts w:ascii="Times New Roman" w:hAnsi="Times New Roman"/>
          <w:sz w:val="20"/>
        </w:rPr>
        <w:t>The STAR (Situation-Task-Action-Result) format is widely used in behavioral interviews to structure responses. Bangerter et al. [5] developed automatic identification methods for storytelling responses to past-behavior interview questions using machine learning. Their work demonstrated that ML models can effectively detect STAR components with accuracy ranging from 65-82% depending on the component. Our work extends this by incorporating STAR detection as part of a comprehensive 23-feature framework for interview response evaluation.</w:t>
      </w:r>
    </w:p>
    <w:p>
      <w:pPr>
        <w:spacing w:before="240" w:after="120"/>
      </w:pPr>
      <w:r>
        <w:rPr>
          <w:rFonts w:ascii="Times New Roman" w:hAnsi="Times New Roman"/>
          <w:b/>
          <w:color w:val="000000"/>
          <w:sz w:val="22"/>
        </w:rPr>
        <w:t>III. SYSTEM ARCHITECTURE</w:t>
      </w:r>
    </w:p>
    <w:p>
      <w:pPr>
        <w:spacing w:before="120" w:after="60"/>
      </w:pPr>
      <w:r>
        <w:rPr>
          <w:rFonts w:ascii="Times New Roman" w:hAnsi="Times New Roman"/>
          <w:b/>
          <w:i/>
          <w:sz w:val="20"/>
        </w:rPr>
        <w:t>A. Overview</w:t>
      </w:r>
    </w:p>
    <w:p>
      <w:pPr>
        <w:spacing w:after="120" w:line="240" w:lineRule="auto"/>
        <w:jc w:val="both"/>
      </w:pPr>
      <w:r>
        <w:rPr>
          <w:rFonts w:ascii="Times New Roman" w:hAnsi="Times New Roman"/>
          <w:sz w:val="20"/>
        </w:rPr>
        <w:t>Our AI-powered interview coaching system consists of two main components operating on a unified data architecture:</w:t>
        <w:br/>
        <w:t>1) AI Interview Bot (Production System): Interactive chatbot for interview practice and real-time feedback</w:t>
        <w:br/>
        <w:t>2) Research Analysis Module: ML model development, validation, and benchmarking framework</w:t>
        <w:br/>
        <w:br/>
        <w:t>Both components share a single dataset stored in JSON format (interview_data_with_scores_converted.json), ensuring research findings directly apply to production deployment without data drift.</w:t>
      </w:r>
    </w:p>
    <w:p>
      <w:pPr>
        <w:spacing w:before="120" w:after="60"/>
      </w:pPr>
      <w:r>
        <w:rPr>
          <w:rFonts w:ascii="Times New Roman" w:hAnsi="Times New Roman"/>
          <w:b/>
          <w:i/>
          <w:sz w:val="20"/>
        </w:rPr>
        <w:t>B. Technology Stack</w:t>
      </w:r>
    </w:p>
    <w:p>
      <w:pPr>
        <w:spacing w:after="120" w:line="240" w:lineRule="auto"/>
        <w:jc w:val="both"/>
      </w:pPr>
      <w:r>
        <w:rPr>
          <w:rFonts w:ascii="Times New Roman" w:hAnsi="Times New Roman"/>
          <w:sz w:val="20"/>
        </w:rPr>
        <w:t>Programming Language: Python 3.14</w:t>
        <w:br/>
        <w:br/>
        <w:t>Machine Learning Libraries:</w:t>
        <w:br/>
        <w:t>• scikit-learn 1.5.2 (Random Forest, SVM, Gradient Boosting)</w:t>
        <w:br/>
        <w:t>• XGBoost 2.0+ (alternative ensemble method)</w:t>
        <w:br/>
        <w:t>• pandas 2.3.3 (data manipulation)</w:t>
        <w:br/>
        <w:t>• NumPy 2.3.4 (numerical computing)</w:t>
        <w:br/>
        <w:br/>
        <w:t>NLP Components:</w:t>
        <w:br/>
        <w:t>• scikit-learn TF-IDF Vectorizer (text similarity)</w:t>
        <w:br/>
        <w:t>• Custom feature extraction pipeline (23 features)</w:t>
      </w:r>
    </w:p>
    <w:p>
      <w:pPr>
        <w:spacing w:before="240" w:after="120"/>
      </w:pPr>
      <w:r>
        <w:rPr>
          <w:rFonts w:ascii="Times New Roman" w:hAnsi="Times New Roman"/>
          <w:b/>
          <w:color w:val="000000"/>
          <w:sz w:val="22"/>
        </w:rPr>
        <w:t>IV. DATASET CONSTRUCTION AND EXPANSION</w:t>
      </w:r>
    </w:p>
    <w:p>
      <w:pPr>
        <w:spacing w:before="120" w:after="60"/>
      </w:pPr>
      <w:r>
        <w:rPr>
          <w:rFonts w:ascii="Times New Roman" w:hAnsi="Times New Roman"/>
          <w:b/>
          <w:i/>
          <w:sz w:val="20"/>
        </w:rPr>
        <w:t>A. Initial Dataset</w:t>
      </w:r>
    </w:p>
    <w:p>
      <w:pPr>
        <w:spacing w:after="120" w:line="240" w:lineRule="auto"/>
        <w:jc w:val="both"/>
      </w:pPr>
      <w:r>
        <w:rPr>
          <w:rFonts w:ascii="Times New Roman" w:hAnsi="Times New Roman"/>
          <w:sz w:val="20"/>
        </w:rPr>
        <w:t>The initial dataset was derived from the Kaggle HR Employee Attrition Dataset, containing 1,470 employee records. We transformed this structured HR data into interview question-answer pairs through competency mapping, question generation, STAR-format answer creation, and score assignment based on performance ratings.</w:t>
      </w:r>
    </w:p>
    <w:p>
      <w:pPr>
        <w:spacing w:before="120" w:after="60"/>
      </w:pPr>
      <w:r>
        <w:rPr>
          <w:rFonts w:ascii="Times New Roman" w:hAnsi="Times New Roman"/>
          <w:b/>
          <w:i/>
          <w:sz w:val="20"/>
        </w:rPr>
        <w:t>B. Dataset Expansion Strategy</w:t>
      </w:r>
    </w:p>
    <w:p>
      <w:pPr>
        <w:spacing w:after="120" w:line="240" w:lineRule="auto"/>
        <w:jc w:val="both"/>
      </w:pPr>
      <w:r>
        <w:rPr>
          <w:rFonts w:ascii="Times New Roman" w:hAnsi="Times New Roman"/>
          <w:sz w:val="20"/>
        </w:rPr>
        <w:t>To improve model generalization and accuracy, we systematically expanded the dataset through two phases:</w:t>
        <w:br/>
        <w:br/>
        <w:t>Phase 1: Job Posting Integration (722 records added)</w:t>
        <w:br/>
        <w:t>• LinkedIn Jobs: 312 records</w:t>
        <w:br/>
        <w:t>• Tech Jobs (Dice.com): 274 records</w:t>
        <w:br/>
        <w:t>• General Job Postings: 136 records</w:t>
        <w:br/>
        <w:br/>
        <w:t>Phase 2: Kaggle Dataset Integration (1,142 records added)</w:t>
        <w:br/>
        <w:t>• ML &amp; DS Coding Interview Bank: 1,000 records</w:t>
        <w:br/>
        <w:t>• Deep Learning Questions: 102 records</w:t>
        <w:br/>
        <w:t>• HR Interview Q&amp;A: 40 unique records</w:t>
      </w:r>
    </w:p>
    <w:p>
      <w:pPr>
        <w:spacing w:before="120" w:after="60"/>
      </w:pPr>
      <w:r>
        <w:rPr>
          <w:rFonts w:ascii="Times New Roman" w:hAnsi="Times New Roman"/>
          <w:b/>
          <w:i/>
          <w:sz w:val="20"/>
        </w:rPr>
        <w:t>C. Final Dataset Characteristics</w:t>
      </w:r>
    </w:p>
    <w:p>
      <w:pPr>
        <w:spacing w:after="120" w:line="240" w:lineRule="auto"/>
        <w:jc w:val="both"/>
      </w:pPr>
      <w:r>
        <w:rPr>
          <w:rFonts w:ascii="Times New Roman" w:hAnsi="Times New Roman"/>
          <w:sz w:val="20"/>
        </w:rPr>
        <w:t>Total Records: 3,334 interview question-answer pairs</w:t>
        <w:br/>
        <w:t>Unique Questions: 1,873 distinct questions</w:t>
        <w:br/>
        <w:t>Data Sources: 7 diverse sources</w:t>
        <w:br/>
        <w:t>Competencies: 15+ competency categories</w:t>
        <w:br/>
        <w:t>Score Range: 1-5 (integer ratings)</w:t>
      </w:r>
    </w:p>
    <w:p>
      <w:pPr>
        <w:jc w:val="center"/>
      </w:pPr>
      <w:r>
        <w:rPr>
          <w:rFonts w:ascii="Times New Roman" w:hAnsi="Times New Roman"/>
          <w:b/>
          <w:sz w:val="18"/>
        </w:rPr>
        <w:t>TABLE I</w:t>
        <w:br/>
        <w:t>DATASET COMPOSITION BY SOURCE</w:t>
      </w:r>
    </w:p>
    <w:tbl>
      <w:tblPr>
        <w:tblStyle w:val="LightGrid-Accent1"/>
        <w:tblW w:type="auto" w:w="0"/>
        <w:tblLook w:firstColumn="1" w:firstRow="1" w:lastColumn="0" w:lastRow="0" w:noHBand="0" w:noVBand="1" w:val="04A0"/>
      </w:tblPr>
      <w:tblGrid>
        <w:gridCol w:w="3360"/>
        <w:gridCol w:w="3360"/>
        <w:gridCol w:w="3360"/>
      </w:tblGrid>
      <w:tr>
        <w:tc>
          <w:tcPr>
            <w:tcW w:type="dxa" w:w="3360"/>
          </w:tcPr>
          <w:p>
            <w:pPr>
              <w:jc w:val="center"/>
            </w:pPr>
            <w:r>
              <w:rPr>
                <w:rFonts w:ascii="Times New Roman" w:hAnsi="Times New Roman"/>
                <w:b/>
                <w:sz w:val="18"/>
              </w:rPr>
              <w:t>Source</w:t>
            </w:r>
          </w:p>
        </w:tc>
        <w:tc>
          <w:tcPr>
            <w:tcW w:type="dxa" w:w="3360"/>
          </w:tcPr>
          <w:p>
            <w:pPr>
              <w:jc w:val="center"/>
            </w:pPr>
            <w:r>
              <w:rPr>
                <w:rFonts w:ascii="Times New Roman" w:hAnsi="Times New Roman"/>
                <w:b/>
                <w:sz w:val="18"/>
              </w:rPr>
              <w:t>Records</w:t>
            </w:r>
          </w:p>
        </w:tc>
        <w:tc>
          <w:tcPr>
            <w:tcW w:type="dxa" w:w="3360"/>
          </w:tcPr>
          <w:p>
            <w:pPr>
              <w:jc w:val="center"/>
            </w:pPr>
            <w:r>
              <w:rPr>
                <w:rFonts w:ascii="Times New Roman" w:hAnsi="Times New Roman"/>
                <w:b/>
                <w:sz w:val="18"/>
              </w:rPr>
              <w:t>Percentage</w:t>
            </w:r>
          </w:p>
        </w:tc>
      </w:tr>
      <w:tr>
        <w:tc>
          <w:tcPr>
            <w:tcW w:type="dxa" w:w="3360"/>
          </w:tcPr>
          <w:p>
            <w:r>
              <w:rPr>
                <w:rFonts w:ascii="Times New Roman" w:hAnsi="Times New Roman"/>
                <w:sz w:val="18"/>
              </w:rPr>
              <w:t>Original Kaggle HR</w:t>
            </w:r>
          </w:p>
        </w:tc>
        <w:tc>
          <w:tcPr>
            <w:tcW w:type="dxa" w:w="3360"/>
          </w:tcPr>
          <w:p>
            <w:r>
              <w:rPr>
                <w:rFonts w:ascii="Times New Roman" w:hAnsi="Times New Roman"/>
                <w:sz w:val="18"/>
              </w:rPr>
              <w:t>1,470</w:t>
            </w:r>
          </w:p>
        </w:tc>
        <w:tc>
          <w:tcPr>
            <w:tcW w:type="dxa" w:w="3360"/>
          </w:tcPr>
          <w:p>
            <w:r>
              <w:rPr>
                <w:rFonts w:ascii="Times New Roman" w:hAnsi="Times New Roman"/>
                <w:sz w:val="18"/>
              </w:rPr>
              <w:t>44.1%</w:t>
            </w:r>
          </w:p>
        </w:tc>
      </w:tr>
      <w:tr>
        <w:tc>
          <w:tcPr>
            <w:tcW w:type="dxa" w:w="3360"/>
          </w:tcPr>
          <w:p>
            <w:r>
              <w:rPr>
                <w:rFonts w:ascii="Times New Roman" w:hAnsi="Times New Roman"/>
                <w:sz w:val="18"/>
              </w:rPr>
              <w:t>ML/DS Coding</w:t>
            </w:r>
          </w:p>
        </w:tc>
        <w:tc>
          <w:tcPr>
            <w:tcW w:type="dxa" w:w="3360"/>
          </w:tcPr>
          <w:p>
            <w:r>
              <w:rPr>
                <w:rFonts w:ascii="Times New Roman" w:hAnsi="Times New Roman"/>
                <w:sz w:val="18"/>
              </w:rPr>
              <w:t>1,000</w:t>
            </w:r>
          </w:p>
        </w:tc>
        <w:tc>
          <w:tcPr>
            <w:tcW w:type="dxa" w:w="3360"/>
          </w:tcPr>
          <w:p>
            <w:r>
              <w:rPr>
                <w:rFonts w:ascii="Times New Roman" w:hAnsi="Times New Roman"/>
                <w:sz w:val="18"/>
              </w:rPr>
              <w:t>30.0%</w:t>
            </w:r>
          </w:p>
        </w:tc>
      </w:tr>
      <w:tr>
        <w:tc>
          <w:tcPr>
            <w:tcW w:type="dxa" w:w="3360"/>
          </w:tcPr>
          <w:p>
            <w:r>
              <w:rPr>
                <w:rFonts w:ascii="Times New Roman" w:hAnsi="Times New Roman"/>
                <w:sz w:val="18"/>
              </w:rPr>
              <w:t>LinkedIn Jobs</w:t>
            </w:r>
          </w:p>
        </w:tc>
        <w:tc>
          <w:tcPr>
            <w:tcW w:type="dxa" w:w="3360"/>
          </w:tcPr>
          <w:p>
            <w:r>
              <w:rPr>
                <w:rFonts w:ascii="Times New Roman" w:hAnsi="Times New Roman"/>
                <w:sz w:val="18"/>
              </w:rPr>
              <w:t>312</w:t>
            </w:r>
          </w:p>
        </w:tc>
        <w:tc>
          <w:tcPr>
            <w:tcW w:type="dxa" w:w="3360"/>
          </w:tcPr>
          <w:p>
            <w:r>
              <w:rPr>
                <w:rFonts w:ascii="Times New Roman" w:hAnsi="Times New Roman"/>
                <w:sz w:val="18"/>
              </w:rPr>
              <w:t>9.4%</w:t>
            </w:r>
          </w:p>
        </w:tc>
      </w:tr>
      <w:tr>
        <w:tc>
          <w:tcPr>
            <w:tcW w:type="dxa" w:w="3360"/>
          </w:tcPr>
          <w:p>
            <w:r>
              <w:rPr>
                <w:rFonts w:ascii="Times New Roman" w:hAnsi="Times New Roman"/>
                <w:sz w:val="18"/>
              </w:rPr>
              <w:t>Tech Jobs</w:t>
            </w:r>
          </w:p>
        </w:tc>
        <w:tc>
          <w:tcPr>
            <w:tcW w:type="dxa" w:w="3360"/>
          </w:tcPr>
          <w:p>
            <w:r>
              <w:rPr>
                <w:rFonts w:ascii="Times New Roman" w:hAnsi="Times New Roman"/>
                <w:sz w:val="18"/>
              </w:rPr>
              <w:t>274</w:t>
            </w:r>
          </w:p>
        </w:tc>
        <w:tc>
          <w:tcPr>
            <w:tcW w:type="dxa" w:w="3360"/>
          </w:tcPr>
          <w:p>
            <w:r>
              <w:rPr>
                <w:rFonts w:ascii="Times New Roman" w:hAnsi="Times New Roman"/>
                <w:sz w:val="18"/>
              </w:rPr>
              <w:t>8.2%</w:t>
            </w:r>
          </w:p>
        </w:tc>
      </w:tr>
      <w:tr>
        <w:tc>
          <w:tcPr>
            <w:tcW w:type="dxa" w:w="3360"/>
          </w:tcPr>
          <w:p>
            <w:r>
              <w:rPr>
                <w:rFonts w:ascii="Times New Roman" w:hAnsi="Times New Roman"/>
                <w:sz w:val="18"/>
              </w:rPr>
              <w:t>Job Postings</w:t>
            </w:r>
          </w:p>
        </w:tc>
        <w:tc>
          <w:tcPr>
            <w:tcW w:type="dxa" w:w="3360"/>
          </w:tcPr>
          <w:p>
            <w:r>
              <w:rPr>
                <w:rFonts w:ascii="Times New Roman" w:hAnsi="Times New Roman"/>
                <w:sz w:val="18"/>
              </w:rPr>
              <w:t>136</w:t>
            </w:r>
          </w:p>
        </w:tc>
        <w:tc>
          <w:tcPr>
            <w:tcW w:type="dxa" w:w="3360"/>
          </w:tcPr>
          <w:p>
            <w:r>
              <w:rPr>
                <w:rFonts w:ascii="Times New Roman" w:hAnsi="Times New Roman"/>
                <w:sz w:val="18"/>
              </w:rPr>
              <w:t>4.1%</w:t>
            </w:r>
          </w:p>
        </w:tc>
      </w:tr>
      <w:tr>
        <w:tc>
          <w:tcPr>
            <w:tcW w:type="dxa" w:w="3360"/>
          </w:tcPr>
          <w:p>
            <w:r>
              <w:rPr>
                <w:rFonts w:ascii="Times New Roman" w:hAnsi="Times New Roman"/>
                <w:sz w:val="18"/>
              </w:rPr>
              <w:t>Deep Learning</w:t>
            </w:r>
          </w:p>
        </w:tc>
        <w:tc>
          <w:tcPr>
            <w:tcW w:type="dxa" w:w="3360"/>
          </w:tcPr>
          <w:p>
            <w:r>
              <w:rPr>
                <w:rFonts w:ascii="Times New Roman" w:hAnsi="Times New Roman"/>
                <w:sz w:val="18"/>
              </w:rPr>
              <w:t>102</w:t>
            </w:r>
          </w:p>
        </w:tc>
        <w:tc>
          <w:tcPr>
            <w:tcW w:type="dxa" w:w="3360"/>
          </w:tcPr>
          <w:p>
            <w:r>
              <w:rPr>
                <w:rFonts w:ascii="Times New Roman" w:hAnsi="Times New Roman"/>
                <w:sz w:val="18"/>
              </w:rPr>
              <w:t>3.1%</w:t>
            </w:r>
          </w:p>
        </w:tc>
      </w:tr>
      <w:tr>
        <w:tc>
          <w:tcPr>
            <w:tcW w:type="dxa" w:w="3360"/>
          </w:tcPr>
          <w:p>
            <w:r>
              <w:rPr>
                <w:rFonts w:ascii="Times New Roman" w:hAnsi="Times New Roman"/>
                <w:sz w:val="18"/>
              </w:rPr>
              <w:t>HR Kaggle Expanded</w:t>
            </w:r>
          </w:p>
        </w:tc>
        <w:tc>
          <w:tcPr>
            <w:tcW w:type="dxa" w:w="3360"/>
          </w:tcPr>
          <w:p>
            <w:r>
              <w:rPr>
                <w:rFonts w:ascii="Times New Roman" w:hAnsi="Times New Roman"/>
                <w:sz w:val="18"/>
              </w:rPr>
              <w:t>40</w:t>
            </w:r>
          </w:p>
        </w:tc>
        <w:tc>
          <w:tcPr>
            <w:tcW w:type="dxa" w:w="3360"/>
          </w:tcPr>
          <w:p>
            <w:r>
              <w:rPr>
                <w:rFonts w:ascii="Times New Roman" w:hAnsi="Times New Roman"/>
                <w:sz w:val="18"/>
              </w:rPr>
              <w:t>1.2%</w:t>
            </w:r>
          </w:p>
        </w:tc>
      </w:tr>
      <w:tr>
        <w:tc>
          <w:tcPr>
            <w:tcW w:type="dxa" w:w="3360"/>
          </w:tcPr>
          <w:p>
            <w:r>
              <w:rPr>
                <w:rFonts w:ascii="Times New Roman" w:hAnsi="Times New Roman"/>
                <w:b/>
                <w:sz w:val="18"/>
              </w:rPr>
              <w:t>Total</w:t>
            </w:r>
          </w:p>
        </w:tc>
        <w:tc>
          <w:tcPr>
            <w:tcW w:type="dxa" w:w="3360"/>
          </w:tcPr>
          <w:p>
            <w:r>
              <w:rPr>
                <w:rFonts w:ascii="Times New Roman" w:hAnsi="Times New Roman"/>
                <w:b/>
                <w:sz w:val="18"/>
              </w:rPr>
              <w:t>3,334</w:t>
            </w:r>
          </w:p>
        </w:tc>
        <w:tc>
          <w:tcPr>
            <w:tcW w:type="dxa" w:w="3360"/>
          </w:tcPr>
          <w:p>
            <w:r>
              <w:rPr>
                <w:rFonts w:ascii="Times New Roman" w:hAnsi="Times New Roman"/>
                <w:b/>
                <w:sz w:val="18"/>
              </w:rPr>
              <w:t>100%</w:t>
            </w:r>
          </w:p>
        </w:tc>
      </w:tr>
    </w:tbl>
    <w:p/>
    <w:p>
      <w:pPr>
        <w:spacing w:before="240" w:after="120"/>
      </w:pPr>
      <w:r>
        <w:rPr>
          <w:rFonts w:ascii="Times New Roman" w:hAnsi="Times New Roman"/>
          <w:b/>
          <w:color w:val="000000"/>
          <w:sz w:val="22"/>
        </w:rPr>
        <w:t>V. FEATURE ENGINEERING</w:t>
      </w:r>
    </w:p>
    <w:p>
      <w:pPr>
        <w:spacing w:before="120" w:after="60"/>
      </w:pPr>
      <w:r>
        <w:rPr>
          <w:rFonts w:ascii="Times New Roman" w:hAnsi="Times New Roman"/>
          <w:b/>
          <w:i/>
          <w:sz w:val="20"/>
        </w:rPr>
        <w:t>A. Feature Categories</w:t>
      </w:r>
    </w:p>
    <w:p>
      <w:pPr>
        <w:spacing w:after="120" w:line="240" w:lineRule="auto"/>
        <w:jc w:val="both"/>
      </w:pPr>
      <w:r>
        <w:rPr>
          <w:rFonts w:ascii="Times New Roman" w:hAnsi="Times New Roman"/>
          <w:sz w:val="20"/>
        </w:rPr>
        <w:t>We developed a comprehensive feature extraction pipeline capturing 23 distinct characteristics of interview responses, organized into seven categories:</w:t>
        <w:br/>
        <w:br/>
        <w:t>1) Basic Linguistic Features (3 features): word_count, sentence_count, avg_word_length</w:t>
        <w:br/>
        <w:br/>
        <w:t>2) STAR Format Detection (4 features): has_situation, has_task, has_action, has_result</w:t>
        <w:br/>
        <w:br/>
        <w:t>3) Domain-Specific Keywords (4 features): action_verbs, technical_terms, metrics, professional_words</w:t>
        <w:br/>
        <w:br/>
        <w:t>4) Structural Features (4 features): has_numbers, question_marks, exclamation_marks, comma_count</w:t>
        <w:br/>
        <w:br/>
        <w:t>5) Completeness Indicators (2 features): is_complete, has_examples</w:t>
        <w:br/>
        <w:br/>
        <w:t>6) Confidence &amp; Tone (2 features): hedging_words, confident_words</w:t>
        <w:br/>
        <w:br/>
        <w:t>7) Additional Structural Features (4 features): char_length, words_per_sentence, uppercase_count, conjunctions</w:t>
      </w:r>
    </w:p>
    <w:p>
      <w:pPr>
        <w:spacing w:before="240" w:after="120"/>
      </w:pPr>
      <w:r>
        <w:rPr>
          <w:rFonts w:ascii="Times New Roman" w:hAnsi="Times New Roman"/>
          <w:b/>
          <w:color w:val="000000"/>
          <w:sz w:val="22"/>
        </w:rPr>
        <w:t>VI. MACHINE LEARNING MODELS</w:t>
      </w:r>
    </w:p>
    <w:p>
      <w:pPr>
        <w:spacing w:before="120" w:after="60"/>
      </w:pPr>
      <w:r>
        <w:rPr>
          <w:rFonts w:ascii="Times New Roman" w:hAnsi="Times New Roman"/>
          <w:b/>
          <w:i/>
          <w:sz w:val="20"/>
        </w:rPr>
        <w:t>A. Model Selection</w:t>
      </w:r>
    </w:p>
    <w:p>
      <w:pPr>
        <w:spacing w:after="120" w:line="240" w:lineRule="auto"/>
        <w:jc w:val="both"/>
      </w:pPr>
      <w:r>
        <w:rPr>
          <w:rFonts w:ascii="Times New Roman" w:hAnsi="Times New Roman"/>
          <w:sz w:val="20"/>
        </w:rPr>
        <w:t>We evaluated three classification algorithms commonly used in text classification and assessment tasks:</w:t>
        <w:br/>
        <w:br/>
        <w:t>Random Forest Classifier: Ensemble of 200 decision trees with maximum depth of 10, robust to overfitting through bootstrap aggregating.</w:t>
        <w:br/>
        <w:br/>
        <w:t>Gradient Boosting Classifier: Sequential ensemble learning with 100 estimators and learning rate of 0.1, strong performance on structured tabular data.</w:t>
        <w:br/>
        <w:br/>
        <w:t>Support Vector Machine (SVM): Radial Basis Function (RBF) kernel with regularization parameter C = 1.0, effective for high-dimensional feature spaces.</w:t>
      </w:r>
    </w:p>
    <w:p>
      <w:pPr>
        <w:spacing w:before="120" w:after="60"/>
      </w:pPr>
      <w:r>
        <w:rPr>
          <w:rFonts w:ascii="Times New Roman" w:hAnsi="Times New Roman"/>
          <w:b/>
          <w:i/>
          <w:sz w:val="20"/>
        </w:rPr>
        <w:t>B. Training Configuration</w:t>
      </w:r>
    </w:p>
    <w:p>
      <w:pPr>
        <w:spacing w:after="120" w:line="240" w:lineRule="auto"/>
        <w:jc w:val="both"/>
      </w:pPr>
      <w:r>
        <w:rPr>
          <w:rFonts w:ascii="Times New Roman" w:hAnsi="Times New Roman"/>
          <w:sz w:val="20"/>
        </w:rPr>
        <w:t>Data Split: We employed a 50-50 train-test split with 1,667 training samples and 1,667 testing samples (random seed: 42 for reproducibility). The 50-50 split was chosen to provide a large test set for reliable evaluation while maintaining sufficient training data for model learning.</w:t>
        <w:br/>
        <w:br/>
        <w:t>Cross-Validation: 5-fold cross-validation on the training set for hyperparameter tuning and model selection.</w:t>
      </w:r>
    </w:p>
    <w:p>
      <w:pPr>
        <w:jc w:val="center"/>
      </w:pPr>
      <w:r>
        <w:rPr>
          <w:rFonts w:ascii="Times New Roman" w:hAnsi="Times New Roman"/>
          <w:b/>
          <w:sz w:val="18"/>
        </w:rPr>
        <w:t>TABLE II</w:t>
        <w:br/>
        <w:t>CROSS-VALIDATION RESULTS ON TRAINING SET</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Model</w:t>
            </w:r>
          </w:p>
        </w:tc>
        <w:tc>
          <w:tcPr>
            <w:tcW w:type="dxa" w:w="2520"/>
          </w:tcPr>
          <w:p>
            <w:pPr>
              <w:jc w:val="center"/>
            </w:pPr>
            <w:r>
              <w:rPr>
                <w:rFonts w:ascii="Times New Roman" w:hAnsi="Times New Roman"/>
                <w:b/>
                <w:sz w:val="18"/>
              </w:rPr>
              <w:t>CV Accuracy</w:t>
            </w:r>
          </w:p>
        </w:tc>
        <w:tc>
          <w:tcPr>
            <w:tcW w:type="dxa" w:w="2520"/>
          </w:tcPr>
          <w:p>
            <w:pPr>
              <w:jc w:val="center"/>
            </w:pPr>
            <w:r>
              <w:rPr>
                <w:rFonts w:ascii="Times New Roman" w:hAnsi="Times New Roman"/>
                <w:b/>
                <w:sz w:val="18"/>
              </w:rPr>
              <w:t>Std Dev</w:t>
            </w:r>
          </w:p>
        </w:tc>
        <w:tc>
          <w:tcPr>
            <w:tcW w:type="dxa" w:w="2520"/>
          </w:tcPr>
          <w:p>
            <w:pPr>
              <w:jc w:val="center"/>
            </w:pPr>
            <w:r>
              <w:rPr>
                <w:rFonts w:ascii="Times New Roman" w:hAnsi="Times New Roman"/>
                <w:b/>
                <w:sz w:val="18"/>
              </w:rPr>
              <w:t>Time (s)</w:t>
            </w:r>
          </w:p>
        </w:tc>
      </w:tr>
      <w:tr>
        <w:tc>
          <w:tcPr>
            <w:tcW w:type="dxa" w:w="2520"/>
          </w:tcPr>
          <w:p>
            <w:r>
              <w:rPr>
                <w:rFonts w:ascii="Times New Roman" w:hAnsi="Times New Roman"/>
                <w:b/>
                <w:sz w:val="18"/>
              </w:rPr>
              <w:t>Random Forest</w:t>
            </w:r>
          </w:p>
        </w:tc>
        <w:tc>
          <w:tcPr>
            <w:tcW w:type="dxa" w:w="2520"/>
          </w:tcPr>
          <w:p>
            <w:r>
              <w:rPr>
                <w:rFonts w:ascii="Times New Roman" w:hAnsi="Times New Roman"/>
                <w:sz w:val="18"/>
              </w:rPr>
              <w:t>76.31%</w:t>
            </w:r>
          </w:p>
        </w:tc>
        <w:tc>
          <w:tcPr>
            <w:tcW w:type="dxa" w:w="2520"/>
          </w:tcPr>
          <w:p>
            <w:r>
              <w:rPr>
                <w:rFonts w:ascii="Times New Roman" w:hAnsi="Times New Roman"/>
                <w:sz w:val="18"/>
              </w:rPr>
              <w:t>±1.32%</w:t>
            </w:r>
          </w:p>
        </w:tc>
        <w:tc>
          <w:tcPr>
            <w:tcW w:type="dxa" w:w="2520"/>
          </w:tcPr>
          <w:p>
            <w:r>
              <w:rPr>
                <w:rFonts w:ascii="Times New Roman" w:hAnsi="Times New Roman"/>
                <w:sz w:val="18"/>
              </w:rPr>
              <w:t>1.47</w:t>
            </w:r>
          </w:p>
        </w:tc>
      </w:tr>
      <w:tr>
        <w:tc>
          <w:tcPr>
            <w:tcW w:type="dxa" w:w="2520"/>
          </w:tcPr>
          <w:p>
            <w:r>
              <w:rPr>
                <w:rFonts w:ascii="Times New Roman" w:hAnsi="Times New Roman"/>
                <w:sz w:val="18"/>
              </w:rPr>
              <w:t>Gradient Boosting</w:t>
            </w:r>
          </w:p>
        </w:tc>
        <w:tc>
          <w:tcPr>
            <w:tcW w:type="dxa" w:w="2520"/>
          </w:tcPr>
          <w:p>
            <w:r>
              <w:rPr>
                <w:rFonts w:ascii="Times New Roman" w:hAnsi="Times New Roman"/>
                <w:sz w:val="18"/>
              </w:rPr>
              <w:t>75.83%</w:t>
            </w:r>
          </w:p>
        </w:tc>
        <w:tc>
          <w:tcPr>
            <w:tcW w:type="dxa" w:w="2520"/>
          </w:tcPr>
          <w:p>
            <w:r>
              <w:rPr>
                <w:rFonts w:ascii="Times New Roman" w:hAnsi="Times New Roman"/>
                <w:sz w:val="18"/>
              </w:rPr>
              <w:t>±1.64%</w:t>
            </w:r>
          </w:p>
        </w:tc>
        <w:tc>
          <w:tcPr>
            <w:tcW w:type="dxa" w:w="2520"/>
          </w:tcPr>
          <w:p>
            <w:r>
              <w:rPr>
                <w:rFonts w:ascii="Times New Roman" w:hAnsi="Times New Roman"/>
                <w:sz w:val="18"/>
              </w:rPr>
              <w:t>5.50</w:t>
            </w:r>
          </w:p>
        </w:tc>
      </w:tr>
      <w:tr>
        <w:tc>
          <w:tcPr>
            <w:tcW w:type="dxa" w:w="2520"/>
          </w:tcPr>
          <w:p>
            <w:r>
              <w:rPr>
                <w:rFonts w:ascii="Times New Roman" w:hAnsi="Times New Roman"/>
                <w:sz w:val="18"/>
              </w:rPr>
              <w:t>SVM</w:t>
            </w:r>
          </w:p>
        </w:tc>
        <w:tc>
          <w:tcPr>
            <w:tcW w:type="dxa" w:w="2520"/>
          </w:tcPr>
          <w:p>
            <w:r>
              <w:rPr>
                <w:rFonts w:ascii="Times New Roman" w:hAnsi="Times New Roman"/>
                <w:sz w:val="18"/>
              </w:rPr>
              <w:t>67.85%</w:t>
            </w:r>
          </w:p>
        </w:tc>
        <w:tc>
          <w:tcPr>
            <w:tcW w:type="dxa" w:w="2520"/>
          </w:tcPr>
          <w:p>
            <w:r>
              <w:rPr>
                <w:rFonts w:ascii="Times New Roman" w:hAnsi="Times New Roman"/>
                <w:sz w:val="18"/>
              </w:rPr>
              <w:t>±0.90%</w:t>
            </w:r>
          </w:p>
        </w:tc>
        <w:tc>
          <w:tcPr>
            <w:tcW w:type="dxa" w:w="2520"/>
          </w:tcPr>
          <w:p>
            <w:r>
              <w:rPr>
                <w:rFonts w:ascii="Times New Roman" w:hAnsi="Times New Roman"/>
                <w:sz w:val="18"/>
              </w:rPr>
              <w:t>0.42</w:t>
            </w:r>
          </w:p>
        </w:tc>
      </w:tr>
    </w:tbl>
    <w:p/>
    <w:p>
      <w:pPr>
        <w:spacing w:before="240" w:after="120"/>
      </w:pPr>
      <w:r>
        <w:rPr>
          <w:rFonts w:ascii="Times New Roman" w:hAnsi="Times New Roman"/>
          <w:b/>
          <w:color w:val="000000"/>
          <w:sz w:val="22"/>
        </w:rPr>
        <w:t>VII. EXPERIMENTAL RESULTS</w:t>
      </w:r>
    </w:p>
    <w:p>
      <w:pPr>
        <w:spacing w:before="120" w:after="60"/>
      </w:pPr>
      <w:r>
        <w:rPr>
          <w:rFonts w:ascii="Times New Roman" w:hAnsi="Times New Roman"/>
          <w:b/>
          <w:i/>
          <w:sz w:val="20"/>
        </w:rPr>
        <w:t>A. Test Set Performance</w:t>
      </w:r>
    </w:p>
    <w:p>
      <w:pPr>
        <w:spacing w:after="120" w:line="240" w:lineRule="auto"/>
        <w:jc w:val="both"/>
      </w:pPr>
      <w:r>
        <w:rPr>
          <w:rFonts w:ascii="Times New Roman" w:hAnsi="Times New Roman"/>
          <w:sz w:val="20"/>
        </w:rPr>
        <w:t>We evaluated the best model (Random Forest) on the held-out test set of 1,667 samples. The model achieved:</w:t>
        <w:br/>
        <w:br/>
        <w:t>• Exact Match Accuracy: 74.75%</w:t>
        <w:br/>
        <w:t>• Within ±1 Accuracy: 97.66%</w:t>
        <w:br/>
        <w:t>• Mean Absolute Error: 0.280</w:t>
        <w:br/>
        <w:t>• Precision (weighted): 0.74</w:t>
        <w:br/>
        <w:t>• Recall (weighted): 0.75</w:t>
        <w:br/>
        <w:t>• F1-Score (weighted): 0.74</w:t>
        <w:br/>
        <w:br/>
        <w:t>The 74.75% exact match accuracy indicates that the model predicts the exact human score in approximately 3 out of 4 cases. More importantly, the 97.66% within ±1 accuracy demonstrates that the model is within one point of the human score in 97.66% of cases, indicating high practical utility.</w:t>
      </w:r>
    </w:p>
    <w:p>
      <w:pPr>
        <w:jc w:val="center"/>
      </w:pPr>
      <w:r>
        <w:rPr>
          <w:rFonts w:ascii="Times New Roman" w:hAnsi="Times New Roman"/>
          <w:b/>
          <w:sz w:val="18"/>
        </w:rPr>
        <w:t>TABLE III</w:t>
        <w:br/>
        <w:t>PERFORMANCE BY SCORE LEVEL</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Times New Roman" w:hAnsi="Times New Roman"/>
                <w:b/>
                <w:sz w:val="18"/>
              </w:rPr>
              <w:t>Score</w:t>
            </w:r>
          </w:p>
        </w:tc>
        <w:tc>
          <w:tcPr>
            <w:tcW w:type="dxa" w:w="2016"/>
          </w:tcPr>
          <w:p>
            <w:pPr>
              <w:jc w:val="center"/>
            </w:pPr>
            <w:r>
              <w:rPr>
                <w:rFonts w:ascii="Times New Roman" w:hAnsi="Times New Roman"/>
                <w:b/>
                <w:sz w:val="18"/>
              </w:rPr>
              <w:t>Precision</w:t>
            </w:r>
          </w:p>
        </w:tc>
        <w:tc>
          <w:tcPr>
            <w:tcW w:type="dxa" w:w="2016"/>
          </w:tcPr>
          <w:p>
            <w:pPr>
              <w:jc w:val="center"/>
            </w:pPr>
            <w:r>
              <w:rPr>
                <w:rFonts w:ascii="Times New Roman" w:hAnsi="Times New Roman"/>
                <w:b/>
                <w:sz w:val="18"/>
              </w:rPr>
              <w:t>Recall</w:t>
            </w:r>
          </w:p>
        </w:tc>
        <w:tc>
          <w:tcPr>
            <w:tcW w:type="dxa" w:w="2016"/>
          </w:tcPr>
          <w:p>
            <w:pPr>
              <w:jc w:val="center"/>
            </w:pPr>
            <w:r>
              <w:rPr>
                <w:rFonts w:ascii="Times New Roman" w:hAnsi="Times New Roman"/>
                <w:b/>
                <w:sz w:val="18"/>
              </w:rPr>
              <w:t>F1-Score</w:t>
            </w:r>
          </w:p>
        </w:tc>
        <w:tc>
          <w:tcPr>
            <w:tcW w:type="dxa" w:w="2016"/>
          </w:tcPr>
          <w:p>
            <w:pPr>
              <w:jc w:val="center"/>
            </w:pPr>
            <w:r>
              <w:rPr>
                <w:rFonts w:ascii="Times New Roman" w:hAnsi="Times New Roman"/>
                <w:b/>
                <w:sz w:val="18"/>
              </w:rPr>
              <w:t>Support</w:t>
            </w:r>
          </w:p>
        </w:tc>
      </w:tr>
      <w:tr>
        <w:tc>
          <w:tcPr>
            <w:tcW w:type="dxa" w:w="2016"/>
          </w:tcPr>
          <w:p>
            <w:r>
              <w:rPr>
                <w:rFonts w:ascii="Times New Roman" w:hAnsi="Times New Roman"/>
                <w:sz w:val="18"/>
              </w:rPr>
              <w:t>2</w:t>
            </w:r>
          </w:p>
        </w:tc>
        <w:tc>
          <w:tcPr>
            <w:tcW w:type="dxa" w:w="2016"/>
          </w:tcPr>
          <w:p>
            <w:r>
              <w:rPr>
                <w:rFonts w:ascii="Times New Roman" w:hAnsi="Times New Roman"/>
                <w:sz w:val="18"/>
              </w:rPr>
              <w:t>0.64</w:t>
            </w:r>
          </w:p>
        </w:tc>
        <w:tc>
          <w:tcPr>
            <w:tcW w:type="dxa" w:w="2016"/>
          </w:tcPr>
          <w:p>
            <w:r>
              <w:rPr>
                <w:rFonts w:ascii="Times New Roman" w:hAnsi="Times New Roman"/>
                <w:sz w:val="18"/>
              </w:rPr>
              <w:t>0.65</w:t>
            </w:r>
          </w:p>
        </w:tc>
        <w:tc>
          <w:tcPr>
            <w:tcW w:type="dxa" w:w="2016"/>
          </w:tcPr>
          <w:p>
            <w:r>
              <w:rPr>
                <w:rFonts w:ascii="Times New Roman" w:hAnsi="Times New Roman"/>
                <w:sz w:val="18"/>
              </w:rPr>
              <w:t>0.65</w:t>
            </w:r>
          </w:p>
        </w:tc>
        <w:tc>
          <w:tcPr>
            <w:tcW w:type="dxa" w:w="2016"/>
          </w:tcPr>
          <w:p>
            <w:r>
              <w:rPr>
                <w:rFonts w:ascii="Times New Roman" w:hAnsi="Times New Roman"/>
                <w:sz w:val="18"/>
              </w:rPr>
              <w:t>352</w:t>
            </w:r>
          </w:p>
        </w:tc>
      </w:tr>
      <w:tr>
        <w:tc>
          <w:tcPr>
            <w:tcW w:type="dxa" w:w="2016"/>
          </w:tcPr>
          <w:p>
            <w:r>
              <w:rPr>
                <w:rFonts w:ascii="Times New Roman" w:hAnsi="Times New Roman"/>
                <w:sz w:val="18"/>
              </w:rPr>
              <w:t>3</w:t>
            </w:r>
          </w:p>
        </w:tc>
        <w:tc>
          <w:tcPr>
            <w:tcW w:type="dxa" w:w="2016"/>
          </w:tcPr>
          <w:p>
            <w:r>
              <w:rPr>
                <w:rFonts w:ascii="Times New Roman" w:hAnsi="Times New Roman"/>
                <w:sz w:val="18"/>
              </w:rPr>
              <w:t>0.83</w:t>
            </w:r>
          </w:p>
        </w:tc>
        <w:tc>
          <w:tcPr>
            <w:tcW w:type="dxa" w:w="2016"/>
          </w:tcPr>
          <w:p>
            <w:r>
              <w:rPr>
                <w:rFonts w:ascii="Times New Roman" w:hAnsi="Times New Roman"/>
                <w:sz w:val="18"/>
              </w:rPr>
              <w:t>0.80</w:t>
            </w:r>
          </w:p>
        </w:tc>
        <w:tc>
          <w:tcPr>
            <w:tcW w:type="dxa" w:w="2016"/>
          </w:tcPr>
          <w:p>
            <w:r>
              <w:rPr>
                <w:rFonts w:ascii="Times New Roman" w:hAnsi="Times New Roman"/>
                <w:sz w:val="18"/>
              </w:rPr>
              <w:t>0.82</w:t>
            </w:r>
          </w:p>
        </w:tc>
        <w:tc>
          <w:tcPr>
            <w:tcW w:type="dxa" w:w="2016"/>
          </w:tcPr>
          <w:p>
            <w:r>
              <w:rPr>
                <w:rFonts w:ascii="Times New Roman" w:hAnsi="Times New Roman"/>
                <w:sz w:val="18"/>
              </w:rPr>
              <w:t>922</w:t>
            </w:r>
          </w:p>
        </w:tc>
      </w:tr>
      <w:tr>
        <w:tc>
          <w:tcPr>
            <w:tcW w:type="dxa" w:w="2016"/>
          </w:tcPr>
          <w:p>
            <w:r>
              <w:rPr>
                <w:rFonts w:ascii="Times New Roman" w:hAnsi="Times New Roman"/>
                <w:sz w:val="18"/>
              </w:rPr>
              <w:t>4</w:t>
            </w:r>
          </w:p>
        </w:tc>
        <w:tc>
          <w:tcPr>
            <w:tcW w:type="dxa" w:w="2016"/>
          </w:tcPr>
          <w:p>
            <w:r>
              <w:rPr>
                <w:rFonts w:ascii="Times New Roman" w:hAnsi="Times New Roman"/>
                <w:sz w:val="18"/>
              </w:rPr>
              <w:t>0.51</w:t>
            </w:r>
          </w:p>
        </w:tc>
        <w:tc>
          <w:tcPr>
            <w:tcW w:type="dxa" w:w="2016"/>
          </w:tcPr>
          <w:p>
            <w:r>
              <w:rPr>
                <w:rFonts w:ascii="Times New Roman" w:hAnsi="Times New Roman"/>
                <w:sz w:val="18"/>
              </w:rPr>
              <w:t>0.29</w:t>
            </w:r>
          </w:p>
        </w:tc>
        <w:tc>
          <w:tcPr>
            <w:tcW w:type="dxa" w:w="2016"/>
          </w:tcPr>
          <w:p>
            <w:r>
              <w:rPr>
                <w:rFonts w:ascii="Times New Roman" w:hAnsi="Times New Roman"/>
                <w:sz w:val="18"/>
              </w:rPr>
              <w:t>0.37</w:t>
            </w:r>
          </w:p>
        </w:tc>
        <w:tc>
          <w:tcPr>
            <w:tcW w:type="dxa" w:w="2016"/>
          </w:tcPr>
          <w:p>
            <w:r>
              <w:rPr>
                <w:rFonts w:ascii="Times New Roman" w:hAnsi="Times New Roman"/>
                <w:sz w:val="18"/>
              </w:rPr>
              <w:t>143</w:t>
            </w:r>
          </w:p>
        </w:tc>
      </w:tr>
      <w:tr>
        <w:tc>
          <w:tcPr>
            <w:tcW w:type="dxa" w:w="2016"/>
          </w:tcPr>
          <w:p>
            <w:r>
              <w:rPr>
                <w:rFonts w:ascii="Times New Roman" w:hAnsi="Times New Roman"/>
                <w:sz w:val="18"/>
              </w:rPr>
              <w:t>5</w:t>
            </w:r>
          </w:p>
        </w:tc>
        <w:tc>
          <w:tcPr>
            <w:tcW w:type="dxa" w:w="2016"/>
          </w:tcPr>
          <w:p>
            <w:r>
              <w:rPr>
                <w:rFonts w:ascii="Times New Roman" w:hAnsi="Times New Roman"/>
                <w:sz w:val="18"/>
              </w:rPr>
              <w:t>0.70</w:t>
            </w:r>
          </w:p>
        </w:tc>
        <w:tc>
          <w:tcPr>
            <w:tcW w:type="dxa" w:w="2016"/>
          </w:tcPr>
          <w:p>
            <w:r>
              <w:rPr>
                <w:rFonts w:ascii="Times New Roman" w:hAnsi="Times New Roman"/>
                <w:sz w:val="18"/>
              </w:rPr>
              <w:t>0.93</w:t>
            </w:r>
          </w:p>
        </w:tc>
        <w:tc>
          <w:tcPr>
            <w:tcW w:type="dxa" w:w="2016"/>
          </w:tcPr>
          <w:p>
            <w:r>
              <w:rPr>
                <w:rFonts w:ascii="Times New Roman" w:hAnsi="Times New Roman"/>
                <w:sz w:val="18"/>
              </w:rPr>
              <w:t>0.80</w:t>
            </w:r>
          </w:p>
        </w:tc>
        <w:tc>
          <w:tcPr>
            <w:tcW w:type="dxa" w:w="2016"/>
          </w:tcPr>
          <w:p>
            <w:r>
              <w:rPr>
                <w:rFonts w:ascii="Times New Roman" w:hAnsi="Times New Roman"/>
                <w:sz w:val="18"/>
              </w:rPr>
              <w:t>250</w:t>
            </w:r>
          </w:p>
        </w:tc>
      </w:tr>
      <w:tr>
        <w:tc>
          <w:tcPr>
            <w:tcW w:type="dxa" w:w="2016"/>
          </w:tcPr>
          <w:p>
            <w:r>
              <w:rPr>
                <w:rFonts w:ascii="Times New Roman" w:hAnsi="Times New Roman"/>
                <w:b/>
                <w:sz w:val="18"/>
              </w:rPr>
              <w:t>Weighted Avg</w:t>
            </w:r>
          </w:p>
        </w:tc>
        <w:tc>
          <w:tcPr>
            <w:tcW w:type="dxa" w:w="2016"/>
          </w:tcPr>
          <w:p>
            <w:r>
              <w:rPr>
                <w:rFonts w:ascii="Times New Roman" w:hAnsi="Times New Roman"/>
                <w:b/>
                <w:sz w:val="18"/>
              </w:rPr>
              <w:t>0.74</w:t>
            </w:r>
          </w:p>
        </w:tc>
        <w:tc>
          <w:tcPr>
            <w:tcW w:type="dxa" w:w="2016"/>
          </w:tcPr>
          <w:p>
            <w:r>
              <w:rPr>
                <w:rFonts w:ascii="Times New Roman" w:hAnsi="Times New Roman"/>
                <w:b/>
                <w:sz w:val="18"/>
              </w:rPr>
              <w:t>0.75</w:t>
            </w:r>
          </w:p>
        </w:tc>
        <w:tc>
          <w:tcPr>
            <w:tcW w:type="dxa" w:w="2016"/>
          </w:tcPr>
          <w:p>
            <w:r>
              <w:rPr>
                <w:rFonts w:ascii="Times New Roman" w:hAnsi="Times New Roman"/>
                <w:b/>
                <w:sz w:val="18"/>
              </w:rPr>
              <w:t>0.74</w:t>
            </w:r>
          </w:p>
        </w:tc>
        <w:tc>
          <w:tcPr>
            <w:tcW w:type="dxa" w:w="2016"/>
          </w:tcPr>
          <w:p>
            <w:r>
              <w:rPr>
                <w:rFonts w:ascii="Times New Roman" w:hAnsi="Times New Roman"/>
                <w:b/>
                <w:sz w:val="18"/>
              </w:rPr>
              <w:t>1,667</w:t>
            </w:r>
          </w:p>
        </w:tc>
      </w:tr>
    </w:tbl>
    <w:p/>
    <w:p>
      <w:pPr>
        <w:spacing w:before="120" w:after="60"/>
      </w:pPr>
      <w:r>
        <w:rPr>
          <w:rFonts w:ascii="Times New Roman" w:hAnsi="Times New Roman"/>
          <w:b/>
          <w:i/>
          <w:sz w:val="20"/>
        </w:rPr>
        <w:t>B. Comparison with Research Benchmarks</w:t>
      </w:r>
    </w:p>
    <w:p>
      <w:pPr>
        <w:spacing w:after="120" w:line="240" w:lineRule="auto"/>
        <w:jc w:val="both"/>
      </w:pPr>
      <w:r>
        <w:rPr>
          <w:rFonts w:ascii="Times New Roman" w:hAnsi="Times New Roman"/>
          <w:sz w:val="20"/>
        </w:rPr>
        <w:t>Our system achieves performance in the top tier of published research:</w:t>
        <w:br/>
        <w:br/>
        <w:t>• Our System: 74.75% exact, 97.66% within ±1, MAE 0.280</w:t>
        <w:br/>
        <w:t>• Typical Research: 55-75% exact, 90-98% within ±1, MAE 0.3-0.6</w:t>
        <w:br/>
        <w:br/>
        <w:t>The large test set (1,667 samples) provides higher confidence in these results compared to studies with 200-500 test samples.</w:t>
      </w:r>
    </w:p>
    <w:p>
      <w:pPr>
        <w:spacing w:before="120" w:after="60"/>
      </w:pPr>
      <w:r>
        <w:rPr>
          <w:rFonts w:ascii="Times New Roman" w:hAnsi="Times New Roman"/>
          <w:b/>
          <w:i/>
          <w:sz w:val="20"/>
        </w:rPr>
        <w:t>C. Feature Importance Analysis</w:t>
      </w:r>
    </w:p>
    <w:p>
      <w:pPr>
        <w:spacing w:after="120" w:line="240" w:lineRule="auto"/>
        <w:jc w:val="both"/>
      </w:pPr>
      <w:r>
        <w:rPr>
          <w:rFonts w:ascii="Times New Roman" w:hAnsi="Times New Roman"/>
          <w:sz w:val="20"/>
        </w:rPr>
        <w:t>Analysis of Random Forest feature importance revealed that length-based features (word_count: 0.18, char_length: 0.15) combined with STAR components (has_action: 0.12, has_result: 0.08, has_situation: 0.05) are the most predictive of interview performance. This validates the importance of both answer completeness and structured storytelling in interview responses.</w:t>
      </w:r>
    </w:p>
    <w:p>
      <w:pPr>
        <w:spacing w:before="240" w:after="120"/>
      </w:pPr>
      <w:r>
        <w:rPr>
          <w:rFonts w:ascii="Times New Roman" w:hAnsi="Times New Roman"/>
          <w:b/>
          <w:color w:val="000000"/>
          <w:sz w:val="22"/>
        </w:rPr>
        <w:t>VIII. PRODUCTION SYSTEM: AI INTERVIEW BOT</w:t>
      </w:r>
    </w:p>
    <w:p>
      <w:pPr>
        <w:spacing w:before="120" w:after="60"/>
      </w:pPr>
      <w:r>
        <w:rPr>
          <w:rFonts w:ascii="Times New Roman" w:hAnsi="Times New Roman"/>
          <w:b/>
          <w:i/>
          <w:sz w:val="20"/>
        </w:rPr>
        <w:t>A. System Architecture</w:t>
      </w:r>
    </w:p>
    <w:p>
      <w:pPr>
        <w:spacing w:after="120" w:line="240" w:lineRule="auto"/>
        <w:jc w:val="both"/>
      </w:pPr>
      <w:r>
        <w:rPr>
          <w:rFonts w:ascii="Times New Roman" w:hAnsi="Times New Roman"/>
          <w:sz w:val="20"/>
        </w:rPr>
        <w:t>The AI Interview Bot serves as the production interface for our research system, providing real-time interview practice and feedback to users. The system consists of:</w:t>
        <w:br/>
        <w:t>1) Question Bank: Curated questions across 15+ competency categories</w:t>
        <w:br/>
        <w:t>2) Answer Evaluator: Real-time scoring using trained Random Forest model</w:t>
        <w:br/>
        <w:t>3) Feedback Generator: TF-IDF based comparison with reference answers</w:t>
        <w:br/>
        <w:t>4) Competency Tracker: Multi-dimensional skill assessment</w:t>
        <w:br/>
        <w:t>5) Session Logger: Records user interactions for continuous improvement</w:t>
      </w:r>
    </w:p>
    <w:p>
      <w:pPr>
        <w:spacing w:before="120" w:after="60"/>
      </w:pPr>
      <w:r>
        <w:rPr>
          <w:rFonts w:ascii="Times New Roman" w:hAnsi="Times New Roman"/>
          <w:b/>
          <w:i/>
          <w:sz w:val="20"/>
        </w:rPr>
        <w:t>B. Scoring Methodology</w:t>
      </w:r>
    </w:p>
    <w:p>
      <w:pPr>
        <w:spacing w:after="120" w:line="240" w:lineRule="auto"/>
        <w:jc w:val="both"/>
      </w:pPr>
      <w:r>
        <w:rPr>
          <w:rFonts w:ascii="Times New Roman" w:hAnsi="Times New Roman"/>
          <w:sz w:val="20"/>
        </w:rPr>
        <w:t>The production system employs a hybrid scoring approach combining ML-based score prediction (Random Forest classifier on 23 features) and TF-IDF similarity (cosine similarity with reference answers). Both metrics are presented to provide comprehensive evaluation of structure, completeness, and content alignment.</w:t>
      </w:r>
    </w:p>
    <w:p>
      <w:pPr>
        <w:spacing w:before="240" w:after="120"/>
      </w:pPr>
      <w:r>
        <w:rPr>
          <w:rFonts w:ascii="Times New Roman" w:hAnsi="Times New Roman"/>
          <w:b/>
          <w:color w:val="000000"/>
          <w:sz w:val="22"/>
        </w:rPr>
        <w:t>IX. LIMITATIONS AND FUTURE WORK</w:t>
      </w:r>
    </w:p>
    <w:p>
      <w:pPr>
        <w:spacing w:before="120" w:after="60"/>
      </w:pPr>
      <w:r>
        <w:rPr>
          <w:rFonts w:ascii="Times New Roman" w:hAnsi="Times New Roman"/>
          <w:b/>
          <w:i/>
          <w:sz w:val="20"/>
        </w:rPr>
        <w:t>A. Current Limitations</w:t>
      </w:r>
    </w:p>
    <w:p>
      <w:pPr>
        <w:ind w:left="360"/>
        <w:jc w:val="both"/>
      </w:pPr>
      <w:r>
        <w:rPr>
          <w:rFonts w:ascii="Times New Roman" w:hAnsi="Times New Roman"/>
          <w:sz w:val="20"/>
        </w:rPr>
        <w:t>1) Score 4 Performance: Limited training data (143 samples) results in only 29% recall</w:t>
      </w:r>
    </w:p>
    <w:p>
      <w:pPr>
        <w:ind w:left="360"/>
        <w:jc w:val="both"/>
      </w:pPr>
      <w:r>
        <w:rPr>
          <w:rFonts w:ascii="Times New Roman" w:hAnsi="Times New Roman"/>
          <w:sz w:val="20"/>
        </w:rPr>
        <w:t>2) Text-Only Analysis: No incorporation of video, audio, or other multimodal signals</w:t>
      </w:r>
    </w:p>
    <w:p>
      <w:pPr>
        <w:ind w:left="360"/>
        <w:jc w:val="both"/>
      </w:pPr>
      <w:r>
        <w:rPr>
          <w:rFonts w:ascii="Times New Roman" w:hAnsi="Times New Roman"/>
          <w:sz w:val="20"/>
        </w:rPr>
        <w:t>3) Hand-Crafted Features: Manual feature engineering rather than learned representations</w:t>
      </w:r>
    </w:p>
    <w:p>
      <w:pPr>
        <w:ind w:left="360"/>
        <w:jc w:val="both"/>
      </w:pPr>
      <w:r>
        <w:rPr>
          <w:rFonts w:ascii="Times New Roman" w:hAnsi="Times New Roman"/>
          <w:sz w:val="20"/>
        </w:rPr>
        <w:t>4) Limited Bias Testing: Insufficient evaluation across demographic groups</w:t>
      </w:r>
    </w:p>
    <w:p>
      <w:pPr>
        <w:ind w:left="360"/>
        <w:jc w:val="both"/>
      </w:pPr>
      <w:r>
        <w:rPr>
          <w:rFonts w:ascii="Times New Roman" w:hAnsi="Times New Roman"/>
          <w:sz w:val="20"/>
        </w:rPr>
        <w:t>5) Explainability Gap: Feature importance available but not surfaced to end users</w:t>
      </w:r>
    </w:p>
    <w:p>
      <w:pPr>
        <w:spacing w:before="120" w:after="60"/>
      </w:pPr>
      <w:r>
        <w:rPr>
          <w:rFonts w:ascii="Times New Roman" w:hAnsi="Times New Roman"/>
          <w:b/>
          <w:i/>
          <w:sz w:val="20"/>
        </w:rPr>
        <w:t>B. Future Research Directions</w:t>
      </w:r>
    </w:p>
    <w:p>
      <w:pPr>
        <w:spacing w:after="120" w:line="240" w:lineRule="auto"/>
        <w:jc w:val="both"/>
      </w:pPr>
      <w:r>
        <w:rPr>
          <w:rFonts w:ascii="Times New Roman" w:hAnsi="Times New Roman"/>
          <w:sz w:val="20"/>
        </w:rPr>
        <w:t>Short-term improvements include data augmentation for Score 4 samples, integration of large language models (GPT-4, Claude) for enhanced scoring, explainability module providing feature-based explanations, and comprehensive bias audit across demographic groups.</w:t>
        <w:br/>
        <w:br/>
        <w:t>Long-term vision includes multimodal analysis incorporating video and audio signals, real-time voice-based interview practice, personalized feedback tailored to individual improvement areas, competency-specific models for specialized domains, and full end-to-end mock interview simulation.</w:t>
      </w:r>
    </w:p>
    <w:p>
      <w:pPr>
        <w:spacing w:before="240" w:after="120"/>
      </w:pPr>
      <w:r>
        <w:rPr>
          <w:rFonts w:ascii="Times New Roman" w:hAnsi="Times New Roman"/>
          <w:b/>
          <w:color w:val="000000"/>
          <w:sz w:val="22"/>
        </w:rPr>
        <w:t>X. CONCLUSION</w:t>
      </w:r>
    </w:p>
    <w:p>
      <w:pPr>
        <w:spacing w:after="120" w:line="240" w:lineRule="auto"/>
        <w:jc w:val="both"/>
      </w:pPr>
      <w:r>
        <w:rPr>
          <w:rFonts w:ascii="Times New Roman" w:hAnsi="Times New Roman"/>
          <w:sz w:val="20"/>
        </w:rPr>
        <w:t>This research presents a comprehensive AI-powered interview coaching system achieving 74.75% exact match accuracy and 97.66% within ±1 accuracy on a diverse dataset of 3,334 interview question-answer pairs. Our key contributions include:</w:t>
        <w:br/>
        <w:br/>
        <w:t>1) High Accuracy: Performance competitive with or superior to recent research</w:t>
        <w:br/>
        <w:t>2) Large-Scale Dataset: 3,334 records from 7 diverse sources, 2.27× larger than original</w:t>
        <w:br/>
        <w:t>3) Advanced Feature Engineering: 23 specialized features including STAR format detection</w:t>
        <w:br/>
        <w:t>4) Unified Architecture: Single shared dataset for research and production</w:t>
        <w:br/>
        <w:t>5) Production Deployment: Working chatbot interface for real-world interview preparation</w:t>
        <w:br/>
        <w:t>6) Rigorous Evaluation: 1,667 test samples, 5× larger than typical research studies</w:t>
        <w:br/>
        <w:br/>
        <w:t>The system demonstrates that machine learning can effectively automate interview scoring while maintaining transparency and providing actionable feedback. Future work will focus on multimodal integration, large language model enhancement, bias mitigation, and improved explainability to create a more comprehensive and equitable interview coaching platform.</w:t>
      </w:r>
    </w:p>
    <w:p>
      <w:pPr>
        <w:spacing w:before="240" w:after="120"/>
      </w:pPr>
      <w:r>
        <w:rPr>
          <w:rFonts w:ascii="Times New Roman" w:hAnsi="Times New Roman"/>
          <w:b/>
          <w:color w:val="000000"/>
          <w:sz w:val="22"/>
        </w:rPr>
        <w:t>ACKNOWLEDGMENTS</w:t>
      </w:r>
    </w:p>
    <w:p>
      <w:pPr>
        <w:spacing w:after="120" w:line="240" w:lineRule="auto"/>
        <w:jc w:val="both"/>
      </w:pPr>
      <w:r>
        <w:rPr>
          <w:rFonts w:ascii="Times New Roman" w:hAnsi="Times New Roman"/>
          <w:sz w:val="20"/>
        </w:rPr>
        <w:t>We acknowledge the following data sources: Kaggle HR Employee Attrition Dataset, LinkedIn Job Postings, Dice.com Tech Jobs, ML/DS Coding Interview Questions, and Deep Learning Interview Questions. We thank the open-source community for essential libraries: scikit-learn, pandas, NumPy, XGBoost, matplotlib, and seaborn.</w:t>
      </w:r>
    </w:p>
    <w:p>
      <w:pPr>
        <w:spacing w:before="240" w:after="120"/>
      </w:pPr>
      <w:r>
        <w:rPr>
          <w:rFonts w:ascii="Times New Roman" w:hAnsi="Times New Roman"/>
          <w:b/>
          <w:color w:val="000000"/>
          <w:sz w:val="22"/>
        </w:rPr>
        <w:t>REFERENCES</w:t>
      </w:r>
    </w:p>
    <w:p>
      <w:pPr>
        <w:ind w:left="360" w:hanging="360"/>
        <w:jc w:val="both"/>
      </w:pPr>
      <w:r>
        <w:rPr>
          <w:rFonts w:ascii="Times New Roman" w:hAnsi="Times New Roman"/>
          <w:sz w:val="18"/>
        </w:rPr>
        <w:t>[1] S. Maity, A. Deroy, and S. Sarkar, "Towards Smarter Hiring: Are Zero-Shot and Few-Shot Pre-trained LLMs Ready for HR Spoken Interview Transcript Analysis?" arXiv preprint arXiv:2504.05683, 2025.</w:t>
      </w:r>
    </w:p>
    <w:p>
      <w:pPr>
        <w:ind w:left="360" w:hanging="360"/>
        <w:jc w:val="both"/>
      </w:pPr>
      <w:r>
        <w:rPr>
          <w:rFonts w:ascii="Times New Roman" w:hAnsi="Times New Roman"/>
          <w:sz w:val="18"/>
        </w:rPr>
        <w:t>[2] J. Geathers et al., "Benchmarking Generative AI for Scoring Medical Student Interviews in Objective Structured Clinical Examinations (OSCEs)," arXiv preprint arXiv:2501.13957, 2025.</w:t>
      </w:r>
    </w:p>
    <w:p>
      <w:pPr>
        <w:ind w:left="360" w:hanging="360"/>
        <w:jc w:val="both"/>
      </w:pPr>
      <w:r>
        <w:rPr>
          <w:rFonts w:ascii="Times New Roman" w:hAnsi="Times New Roman"/>
          <w:sz w:val="18"/>
        </w:rPr>
        <w:t>[3] P. J. Uppalapati, M. Dabbiru, and V. R. Kasukurthi, "AI-driven mock interview assessment: Leveraging generative language models for automated evaluation," International Journal of Machine Learning and Cybernetics, 2025.</w:t>
      </w:r>
    </w:p>
    <w:p>
      <w:pPr>
        <w:ind w:left="360" w:hanging="360"/>
        <w:jc w:val="both"/>
      </w:pPr>
      <w:r>
        <w:rPr>
          <w:rFonts w:ascii="Times New Roman" w:hAnsi="Times New Roman"/>
          <w:sz w:val="18"/>
        </w:rPr>
        <w:t>[4] I. Thompson, N. Koenig, D. L. Mracek, J. P. Hausknecht, and N. A. Morelli, "Deep learning in employee selection: Evaluation of algorithms to automate the scoring of open-ended assessments," Journal of Business and Psychology, vol. 38, no. 4, pp. 875-897, 2023.</w:t>
      </w:r>
    </w:p>
    <w:p>
      <w:pPr>
        <w:ind w:left="360" w:hanging="360"/>
        <w:jc w:val="both"/>
      </w:pPr>
      <w:r>
        <w:rPr>
          <w:rFonts w:ascii="Times New Roman" w:hAnsi="Times New Roman"/>
          <w:sz w:val="18"/>
        </w:rPr>
        <w:t>[5] A. Bangerter, E. Mayor, S. Muralidhar, and D. Gatica-Perez, "Automatic identification of storytelling responses to past-behavior interview questions via machine learning," International Journal of Selection and Assessment, vol. 31, no. 3, pp. 428-445, 2023.</w:t>
      </w:r>
    </w:p>
    <w:p>
      <w:pPr>
        <w:ind w:left="360" w:hanging="360"/>
        <w:jc w:val="both"/>
      </w:pPr>
      <w:r>
        <w:rPr>
          <w:rFonts w:ascii="Times New Roman" w:hAnsi="Times New Roman"/>
          <w:sz w:val="18"/>
        </w:rPr>
        <w:t>[6] B. M. Booth, L. Hickman, S. K. Subburaj, L. Tay, S. E. Woo, and S. K. D'Mello, "Bias and fairness in multimodal machine learning: A case study of automated video interviews," in Proceedings of the ACM International Conference on Multimodal Interaction, 2021, pp. 268-277.</w:t>
      </w:r>
    </w:p>
    <w:p>
      <w:pPr>
        <w:ind w:left="360" w:hanging="360"/>
        <w:jc w:val="both"/>
      </w:pPr>
      <w:r>
        <w:rPr>
          <w:rFonts w:ascii="Times New Roman" w:hAnsi="Times New Roman"/>
          <w:sz w:val="18"/>
        </w:rPr>
        <w:t>[7] L. Chen et al., "Automated scoring of interview videos using Doc2Vec multimodal feature extraction paradigm," in Proceedings of the 18th ACM International Conference on Multimodal Interaction, 2016, pp. 161-168.</w:t>
      </w:r>
    </w:p>
    <w:p>
      <w:pPr>
        <w:ind w:left="360" w:hanging="360"/>
        <w:jc w:val="both"/>
      </w:pPr>
      <w:r>
        <w:rPr>
          <w:rFonts w:ascii="Times New Roman" w:hAnsi="Times New Roman"/>
          <w:sz w:val="18"/>
        </w:rPr>
        <w:t>[8] L. Hickman, R. Saef, V. Ng, S. E. Woo, L. Tay, and N. Bosch, "Developing and evaluating language-based machine learning algorithms for inferring applicant personality in video interviews," Human Resource Management, vol. 63, no. 2, pp. 356-378, 2024.</w:t>
      </w:r>
    </w:p>
    <w:p>
      <w:pPr>
        <w:ind w:left="360" w:hanging="360"/>
        <w:jc w:val="both"/>
      </w:pPr>
      <w:r>
        <w:rPr>
          <w:rFonts w:ascii="Times New Roman" w:hAnsi="Times New Roman"/>
          <w:sz w:val="18"/>
        </w:rPr>
        <w:t>[9] P. S. B. Rao, L. N. Venkatesan, M. Cherubini, and D. B. Jayagopi, "Invisible Filters: Cultural Bias in Hiring Evaluations Using Large Language Models," AIES 2025, arXiv:2508.16673, 2025.</w:t>
      </w:r>
    </w:p>
    <w:p>
      <w:pPr>
        <w:ind w:left="360" w:hanging="360"/>
        <w:jc w:val="both"/>
      </w:pPr>
      <w:r>
        <w:rPr>
          <w:rFonts w:ascii="Times New Roman" w:hAnsi="Times New Roman"/>
          <w:sz w:val="18"/>
        </w:rPr>
        <w:t>[10] D. F. Mujtaba and N. R. Mahapatra, "Fairness in AI-Driven Recruitment: Challenges, Metrics, Methods, and Future Directions," arXiv preprint arXiv:2405.19699, 2024.</w:t>
      </w:r>
    </w:p>
    <w:p>
      <w:pPr>
        <w:ind w:left="360" w:hanging="360"/>
        <w:jc w:val="both"/>
      </w:pPr>
      <w:r>
        <w:rPr>
          <w:rFonts w:ascii="Times New Roman" w:hAnsi="Times New Roman"/>
          <w:sz w:val="18"/>
        </w:rPr>
        <w:t>[11] L. Hickman, L. Tay, and S. E. Woo, "Are automated video interviews smart enough? Behavioral modes, reliability, validity, and bias of machine learning cognitive ability assessments," Journal of Applied Psychology, vol. 109, no. 5, pp. 789-811, 2024.</w:t>
      </w:r>
    </w:p>
    <w:sectPr w:rsidR="00FC693F" w:rsidRPr="0006063C" w:rsidSect="00034616">
      <w:pgSz w:w="12240" w:h="15840"/>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