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6c6cee62f4da1dc3d78ea5b40b215748712625a.png"/>
            <a:graphic>
              <a:graphicData uri="http://schemas.openxmlformats.org/drawingml/2006/picture">
                <pic:pic>
                  <pic:nvPicPr>
                    <pic:cNvPr id="1" name="image-96c6cee62f4da1dc3d78ea5b40b215748712625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Investment Domain Modernization on AWS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Deep-Dive Reference &amp; Word-Document Blueprint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Executive 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Modernizing the Investment Domain on AWS demands a secure, cost-effective and governable data-lake / warehouse architecture. Storing raw data in Amazon S3 (Iceberg format) and curated data in Amazon Redshift unlocks serverless querying (Athena), scalable warehousing, and cross-account data sharing. Robust ingress / egress pathways, coupled with CloudWatch-centric observability, ensure regulatory compliance and operational excellence[1][2][3].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Word-Document Structure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Content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Cover Page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Branding &amp; confidentiality banner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Title, classification, author, version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Revision History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Transparent change 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Table: Version, date, editor, summary[4][5]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 of Contents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Auto-generated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References ➜ Table of Contents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 Overview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Scope &amp; guiding principles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 adoption rationale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2. Storage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Iceberg, Redshift, S3 Tables[2][6]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3. Ingress Patterns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 &amp; Push methods (deep-dive below)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4. Egress Patterns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 &amp; Pull methods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5. Consumption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BI/ML paths (Athena, Redshift, Snowflake, JDBC, SharePoint, etc.)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6. Metrics &amp; Logging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CloudWatch, CloudTrail, log filters[7][8]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7. Security &amp; Governance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IAM, SCP/RCP data perimeter[9][10]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8. Cost &amp; 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Partitioning, compression, concurrency scaling[11][12][13]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9. Risks &amp; Mitigations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Technical, operational, compliance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10. Appendices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Glossary, architecture diagrams, IAM policies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Versioning tip:</w:t>
      </w:r>
      <w:r>
        <w:rPr>
          <w:rFonts w:eastAsia="inter" w:cs="inter" w:ascii="inter" w:hAnsi="inter"/>
          <w:color w:val="000000"/>
        </w:rPr>
        <w:t xml:space="preserve"> include version number in both file name </w:t>
      </w:r>
      <w:r>
        <w:rPr>
          <w:rFonts w:eastAsia="inter" w:cs="inter" w:ascii="inter" w:hAnsi="inter"/>
          <w:i/>
          <w:color w:val="000000"/>
        </w:rPr>
        <w:t xml:space="preserve">and</w:t>
      </w:r>
      <w:r>
        <w:rPr>
          <w:rFonts w:eastAsia="inter" w:cs="inter" w:ascii="inter" w:hAnsi="inter"/>
          <w:color w:val="000000"/>
        </w:rPr>
        <w:t xml:space="preserve"> footer (e.g., </w:t>
      </w:r>
      <w:r>
        <w:rPr>
          <w:rFonts w:eastAsia="inter" w:cs="inter" w:ascii="inter" w:hAnsi="inter"/>
          <w:i/>
          <w:color w:val="000000"/>
        </w:rPr>
        <w:t xml:space="preserve">Investment_Domain_Modernization_v1.0.docx</w:t>
      </w:r>
      <w:r>
        <w:rPr>
          <w:rFonts w:eastAsia="inter" w:cs="inter" w:ascii="inter" w:hAnsi="inter"/>
          <w:color w:val="000000"/>
        </w:rPr>
        <w:t xml:space="preserve"> and “Version 1.0” in footer)[14]. Store drafts in SharePoint or OneDrive to leverage built-in version history[15][16].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 — Data Storage Architecture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 /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Amazon S3 + Iceberg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Open table format, time-travel, schema evolution[2][17]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catalog (Glue, AWS S3 Tables), eventual consistency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SSE-KMS, bucket policies, VPC endpoint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Amazon Redshift (RA3)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Massively parallel, auto-materialized views, concurrency scaling[3][18]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Higher $/TB vs. S3; cluster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VPC only, SG/NACL least-privilege[19]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Amazon S3 Tables (Preview)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Fully-managed Iceberg warehouse; 3× query throughput[2]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Regional availability, preview SLA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Table-level IAM, automatic maintenance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 — Data Ingress Patterns (Deep Research)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585"/>
        <w:gridCol w:w="1585"/>
        <w:gridCol w:w="1585"/>
        <w:gridCol w:w="1585"/>
        <w:gridCol w:w="1585"/>
        <w:gridCol w:w="158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Typical Throughput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 /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/ Best Practice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API Pull (Amazon API Gateway + Lambda → S3)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Up to 10 K rps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Near real-time, serverless scaling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limits, pagination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WAF for OWASP Top-10[20]; SigV4 auth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Database Pull (DMS / Glue JDBC)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MB–GB/hr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CDC, minimal code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 load, network ACLs[21]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TLS, IAM Secrets Manager rotation[22]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Transfer Family (SFTP)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Up to 600 MB/s[23]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Managed keys, workflows with PGP[24]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Cost per endpoint, port 22 scanning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VPC-internal endpoint; IP allowlist[25]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AWS DataSync (NAS/SMB/HDFS)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Push/Pull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 Gb/s per task[26]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Compression, incremental, checksums[27]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Agent deployment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TLS-encrypted; Direct Connect bypass option[28]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SharePoint / Confluence (AppFlow)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API-limited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Low-code SaaS sync[29][30]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SaaS rate limits; HTML cleanup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OAuth 2.0 tokens; limit PII export[31]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AWS CLI / SDK (manual)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Human-speed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Simple PoC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Error-prone, no auditable workflow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Deny-all SCP; MFA-protected IAM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 — Data Egress Patterns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Pattern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Cons / Limits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Athena / ODBC/JDBC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Serverless, pay-per-scan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Requires partition/format tuning[11][32]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Glue policies; SSL-JDBC[33]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Redshift Data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IAM-based; returns JSON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100 MB result cap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KMS auth; rotate secrets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S3 Shortcut (MS Fabric)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Pull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Familiar to analysts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Read-only ACL, no Iceberg writes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IAM user with scoped policy[34]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DataSync → On-Prem NAS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Verify checksums, throttling[35]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 Connect fees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Private VIF; AES-256 TLS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Transfer Family SFTP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PGP encryption workflows[24]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Endpoint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IP-based SG; CloudTrail logs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 — Data Consumption &amp; Query Performance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Athena</w:t>
      </w:r>
      <w:r>
        <w:rPr>
          <w:rFonts w:eastAsia="inter" w:cs="inter" w:ascii="inter" w:hAnsi="inter"/>
          <w:color w:val="000000"/>
          <w:sz w:val="21"/>
        </w:rPr>
        <w:t xml:space="preserve"> – enable cost-based optimizer, partition pruning, columnar formats[36][12].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Redshift</w:t>
      </w:r>
      <w:r>
        <w:rPr>
          <w:rFonts w:eastAsia="inter" w:cs="inter" w:ascii="inter" w:hAnsi="inter"/>
          <w:color w:val="000000"/>
          <w:sz w:val="21"/>
        </w:rPr>
        <w:t xml:space="preserve"> – RA3 with managed storage; short-query acceleration; auto-table-optimization[37].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Snowflake External Tables</w:t>
      </w:r>
      <w:r>
        <w:rPr>
          <w:rFonts w:eastAsia="inter" w:cs="inter" w:ascii="inter" w:hAnsi="inter"/>
          <w:color w:val="000000"/>
          <w:sz w:val="21"/>
        </w:rPr>
        <w:t xml:space="preserve"> – cross-account IAM role granting READ on S3 (least privilege)[38][39].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 Tools (JDBC/ODBC)</w:t>
      </w:r>
      <w:r>
        <w:rPr>
          <w:rFonts w:eastAsia="inter" w:cs="inter" w:ascii="inter" w:hAnsi="inter"/>
          <w:color w:val="000000"/>
          <w:sz w:val="21"/>
        </w:rPr>
        <w:t xml:space="preserve"> – enforce SSL &amp; IAM database authentication; rotate secrets via Secrets Manager[22][40].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 — Metrics, Logging &amp; Observability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Layer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Source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Ingress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DataSync BytesTransferred, Transfer Family FilesUploaded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CloudWatch[41]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Storage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RequestCount, S3 4xxErrorRate, Iceberg snapshot 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CloudWatch, Glue metrics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Warehouse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Redshift ConcurrencyScalingActiveClusters, WLM Queue Wait[42]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CloudWatch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Queries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Athena EngineExecutionTime, DataScannedInBytes[11]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CloudWatch Logs Insights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Security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CloudTrail EventCount by API, IAM AssumeRole failures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CloudTrail Lake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AWS Cost Explorer – S3 GET/PUT, Athena $ per TB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CUR + Athena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CloudWatch </w:t>
      </w:r>
      <w:r>
        <w:rPr>
          <w:rFonts w:eastAsia="inter" w:cs="inter" w:ascii="inter" w:hAnsi="inter"/>
          <w:b/>
          <w:color w:val="000000"/>
        </w:rPr>
        <w:t xml:space="preserve">metric filters</w:t>
      </w:r>
      <w:r>
        <w:rPr>
          <w:rFonts w:eastAsia="inter" w:cs="inter" w:ascii="inter" w:hAnsi="inter"/>
          <w:color w:val="000000"/>
        </w:rPr>
        <w:t xml:space="preserve"> to turn log lines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BytesTransferred</w:t>
      </w:r>
      <w:r>
        <w:rPr>
          <w:rFonts w:eastAsia="inter" w:cs="inter" w:ascii="inter" w:hAnsi="inter"/>
          <w:color w:val="000000"/>
        </w:rPr>
        <w:t xml:space="preserve">) into custom KPIs and alarms[8][43].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 — Security &amp; Governance Highlights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Least-Privilege IAM</w:t>
      </w:r>
      <w:r>
        <w:rPr>
          <w:rFonts w:eastAsia="inter" w:cs="inter" w:ascii="inter" w:hAnsi="inter"/>
          <w:color w:val="000000"/>
          <w:sz w:val="21"/>
        </w:rPr>
        <w:t xml:space="preserve"> – Deny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*:*</w:t>
      </w:r>
      <w:r>
        <w:rPr>
          <w:rFonts w:eastAsia="inter" w:cs="inter" w:ascii="inter" w:hAnsi="inter"/>
          <w:color w:val="000000"/>
          <w:sz w:val="21"/>
        </w:rPr>
        <w:t xml:space="preserve"> except needed actions; use cross-account roles for S3 sharing, not hard-coded keys[38][44][45].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Controls</w:t>
      </w:r>
      <w:r>
        <w:rPr>
          <w:rFonts w:eastAsia="inter" w:cs="inter" w:ascii="inter" w:hAnsi="inter"/>
          <w:color w:val="000000"/>
          <w:sz w:val="21"/>
        </w:rPr>
        <w:t xml:space="preserve"> – SGs for instance-level, NACLs for subnet-level (stateless)[21][19]. Deny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0.0.0.0/0</w:t>
      </w:r>
      <w:r>
        <w:rPr>
          <w:rFonts w:eastAsia="inter" w:cs="inter" w:ascii="inter" w:hAnsi="inter"/>
          <w:color w:val="000000"/>
          <w:sz w:val="21"/>
        </w:rPr>
        <w:t xml:space="preserve"> ingress where possible[46].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Encryption</w:t>
      </w:r>
      <w:r>
        <w:rPr>
          <w:rFonts w:eastAsia="inter" w:cs="inter" w:ascii="inter" w:hAnsi="inter"/>
          <w:color w:val="000000"/>
          <w:sz w:val="21"/>
        </w:rPr>
        <w:t xml:space="preserve"> – TLS 1.2+ for JDBC/ODBC[40][47]; SSE-KMS or client-side for PII.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Perimeter</w:t>
      </w:r>
      <w:r>
        <w:rPr>
          <w:rFonts w:eastAsia="inter" w:cs="inter" w:ascii="inter" w:hAnsi="inter"/>
          <w:color w:val="000000"/>
          <w:sz w:val="21"/>
        </w:rPr>
        <w:t xml:space="preserve"> – SCPs/RCPs restricting S3 actions to corporate IP ranges prevent exfiltration[9][10].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Supply-Chain Patching</w:t>
      </w:r>
      <w:r>
        <w:rPr>
          <w:rFonts w:eastAsia="inter" w:cs="inter" w:ascii="inter" w:hAnsi="inter"/>
          <w:color w:val="000000"/>
          <w:sz w:val="21"/>
        </w:rPr>
        <w:t xml:space="preserve"> – Keep Redshift drivers ≥ 2.1.0.32 to avoid CVE-2024-12744[48].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 — Cost &amp; Performance Optimization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Benefit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S3 Iceberg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Parquet + Snappy; 128 MB objects; partition by date-bucket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30-70% scan reduction[32]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Athena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CBO, LIMIT+ORDER, correct join ordering[11][49]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2× faster queries[36]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Redshift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Auto-materialized views, RA3 elastic storage, concurrency scaling[13]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35× throughput burst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DataSync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Parallel tasks, exclude unchanged files[26][35]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Shorter migration windows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Transfer Family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Batch into workflows to minimize per-GB costs[50]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Lower transfer bill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 — Reference Architecture Snapshots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Hybrid Pull</w:t>
      </w:r>
      <w:r>
        <w:rPr>
          <w:rFonts w:eastAsia="inter" w:cs="inter" w:ascii="inter" w:hAnsi="inter"/>
          <w:color w:val="000000"/>
          <w:sz w:val="21"/>
        </w:rPr>
        <w:t xml:space="preserve"> – On-prem Oracle → DMS → S3 (Iceberg) → Athena / Redshift Spectrum.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Partner Push</w:t>
      </w:r>
      <w:r>
        <w:rPr>
          <w:rFonts w:eastAsia="inter" w:cs="inter" w:ascii="inter" w:hAnsi="inter"/>
          <w:color w:val="000000"/>
          <w:sz w:val="21"/>
        </w:rPr>
        <w:t xml:space="preserve"> – Vendor SFTP → Transfer Family → S3 staging → Glue ETL → Curated Redshift.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Cross-Account Sharing</w:t>
      </w:r>
      <w:r>
        <w:rPr>
          <w:rFonts w:eastAsia="inter" w:cs="inter" w:ascii="inter" w:hAnsi="inter"/>
          <w:color w:val="000000"/>
          <w:sz w:val="21"/>
        </w:rPr>
        <w:t xml:space="preserve"> – Producer bucket with resource policy granting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arn:aws:iam::&lt;consumer&gt;:role/DataLakeReader</w:t>
      </w:r>
      <w:r>
        <w:rPr>
          <w:rFonts w:eastAsia="inter" w:cs="inter" w:ascii="inter" w:hAnsi="inter"/>
          <w:color w:val="000000"/>
          <w:sz w:val="21"/>
        </w:rPr>
        <w:t xml:space="preserve"> plus Lake Formation tag-based access.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 — Authoring the Word File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Template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Fonts w:eastAsia="inter" w:cs="inter" w:ascii="inter" w:hAnsi="inter"/>
          <w:i/>
          <w:color w:val="000000"/>
          <w:sz w:val="21"/>
        </w:rPr>
        <w:t xml:space="preserve">File → New → Custom Office Templates → “Investment_Modernization.dotx”</w:t>
      </w:r>
      <w:r>
        <w:rPr>
          <w:rFonts w:eastAsia="inter" w:cs="inter" w:ascii="inter" w:hAnsi="inter"/>
          <w:color w:val="000000"/>
          <w:sz w:val="21"/>
        </w:rPr>
        <w:t xml:space="preserve">[51][52].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Insert Quick Parts</w:t>
      </w:r>
      <w:r>
        <w:rPr>
          <w:rFonts w:eastAsia="inter" w:cs="inter" w:ascii="inter" w:hAnsi="inter"/>
          <w:color w:val="000000"/>
          <w:sz w:val="21"/>
        </w:rPr>
        <w:t xml:space="preserve"> for </w:t>
      </w:r>
      <w:r>
        <w:rPr>
          <w:rFonts w:eastAsia="inter" w:cs="inter" w:ascii="inter" w:hAnsi="inter"/>
          <w:b/>
          <w:color w:val="000000"/>
          <w:sz w:val="21"/>
        </w:rPr>
        <w:t xml:space="preserve">Document Property</w:t>
      </w:r>
      <w:r>
        <w:rPr>
          <w:rFonts w:eastAsia="inter" w:cs="inter" w:ascii="inter" w:hAnsi="inter"/>
          <w:color w:val="000000"/>
          <w:sz w:val="21"/>
        </w:rPr>
        <w:t xml:space="preserve"> fields (Title, Author) so cover-page metadata auto-flows[53].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Automatic Revision Table</w:t>
      </w:r>
      <w:r>
        <w:rPr>
          <w:rFonts w:eastAsia="inter" w:cs="inter" w:ascii="inter" w:hAnsi="inter"/>
          <w:color w:val="000000"/>
          <w:sz w:val="21"/>
        </w:rPr>
        <w:t xml:space="preserve">: Use 3-column footer (Date | Page # | Version) linked to StyleRef “Version” field[4][14].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Navigation</w:t>
      </w:r>
      <w:r>
        <w:rPr>
          <w:rFonts w:eastAsia="inter" w:cs="inter" w:ascii="inter" w:hAnsi="inter"/>
          <w:color w:val="000000"/>
          <w:sz w:val="21"/>
        </w:rPr>
        <w:t xml:space="preserve">: Apply “Heading 1/2/3” styles; Word will auto-generate Table of Contents and keep hyperlinks intact[54].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Co-Authoring &amp; Version History</w:t>
      </w:r>
      <w:r>
        <w:rPr>
          <w:rFonts w:eastAsia="inter" w:cs="inter" w:ascii="inter" w:hAnsi="inter"/>
          <w:color w:val="000000"/>
          <w:sz w:val="21"/>
        </w:rPr>
        <w:t xml:space="preserve">: Store the template in SharePoint; turn on </w:t>
      </w:r>
      <w:r>
        <w:rPr>
          <w:rFonts w:eastAsia="inter" w:cs="inter" w:ascii="inter" w:hAnsi="inter"/>
          <w:b/>
          <w:color w:val="000000"/>
          <w:sz w:val="21"/>
        </w:rPr>
        <w:t xml:space="preserve">Require Check-Out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Fonts w:eastAsia="inter" w:cs="inter" w:ascii="inter" w:hAnsi="inter"/>
          <w:b/>
          <w:color w:val="000000"/>
          <w:sz w:val="21"/>
        </w:rPr>
        <w:t xml:space="preserve">Major/Minor versions</w:t>
      </w:r>
      <w:r>
        <w:rPr>
          <w:rFonts w:eastAsia="inter" w:cs="inter" w:ascii="inter" w:hAnsi="inter"/>
          <w:color w:val="000000"/>
          <w:sz w:val="21"/>
        </w:rPr>
        <w:t xml:space="preserve"> to track d0.1…v1.0 lifecycle[15][16].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 — Appendices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A. Glossary (SCP, RCP, DataSync, Iceberg, CBO, RA3, etc.)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B. Sample IAM Inline Policies (Least privilege S3 access)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C. Cost Model Spreadsheet links (CUR query examples)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D. Links to AWS Prescriptive Guidance papers &amp; whitepapers used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 Steps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the content sections above into your Word template following Section 9.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Embed architecture diagrams (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draw.io</w:t>
        </w:r>
      </w:hyperlink>
      <w:r>
        <w:rPr>
          <w:rFonts w:eastAsia="inter" w:cs="inter" w:ascii="inter" w:hAnsi="inter"/>
          <w:color w:val="000000"/>
          <w:sz w:val="21"/>
        </w:rPr>
        <w:t xml:space="preserve"> or PNG exports) under Appendix D.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Route draft </w:t>
      </w:r>
      <w:r>
        <w:rPr>
          <w:rFonts w:eastAsia="inter" w:cs="inter" w:ascii="inter" w:hAnsi="inter"/>
          <w:b/>
          <w:color w:val="000000"/>
          <w:sz w:val="21"/>
        </w:rPr>
        <w:t xml:space="preserve">v0.5</w:t>
      </w:r>
      <w:r>
        <w:rPr>
          <w:rFonts w:eastAsia="inter" w:cs="inter" w:ascii="inter" w:hAnsi="inter"/>
          <w:color w:val="000000"/>
          <w:sz w:val="21"/>
        </w:rPr>
        <w:t xml:space="preserve"> for peer review; after approvals, update revision table and promote to </w:t>
      </w:r>
      <w:r>
        <w:rPr>
          <w:rFonts w:eastAsia="inter" w:cs="inter" w:ascii="inter" w:hAnsi="inter"/>
          <w:b/>
          <w:color w:val="000000"/>
          <w:sz w:val="21"/>
        </w:rPr>
        <w:t xml:space="preserve">v1.0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this blueprint and the in-depth pattern analysis, your Word deliverable will satisfy auditors, architects, and engineering teams alike—while remaining maintainable through future iterations.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6c6cee62f4da1dc3d78ea5b40b215748712625a.png" TargetMode="Internal"/><Relationship Id="rId6" Type="http://schemas.openxmlformats.org/officeDocument/2006/relationships/hyperlink" Target="http://draw.io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2025-07-08T17:01:15.622Z</dcterms:created>
  <dcterms:modified xsi:type="dcterms:W3CDTF">2025-07-08T17:01:15.622Z</dcterms:modified>
</cp:coreProperties>
</file>