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 IPC defines rape very narrowly as sexual intercourse that takes place without the will or consent of the woman. There are a number of other ways in which a woman may be victimized sexually. For such cases, which include but are not limited to eve-teasing, molestation etc., are covered under Section 354 of the IPC which deals with “outraging the modesty of a woman”.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is meant by “outraging the modesty of a woman”?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 Supreme Court defines “outraging the modesty of a woman” as any act done in the presence of a woman that is suggestive of sex according to commonly held notions.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When the accused assaults or uses criminal force to outrage her modesty, section 354 of the IPC deals with punishments.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is the maximum punishment that can be given to a person found guilty of outraging the modesty of a woman?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maximum sentence of two years or a fine or both may be slapped on an accused found guilty. This is a charge lesser than rape and invites lesser punishment.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offences are covered under this section?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Molestation, eve-teasing, fellatio, cunnilingus, groping are all covered under this section.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highlight w:val="white"/>
          <w:rtl w:val="0"/>
        </w:rPr>
        <w:t xml:space="preserve">Q. What is the nature of this offence?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Outraging the modesty of a woman is a cognizable offence. It is bailable.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Charges under this section are easy to make but difficult to prove since the court will look for witnesses and other means to verify the commission of the offence.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highlight w:val="white"/>
          <w:rtl w:val="0"/>
        </w:rPr>
        <w:t xml:space="preserve">--Ends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lawsOnRape_otherSexualAssault_knowTheLaw.docx</dc:title>
</cp:coreProperties>
</file>