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Women and children who are sexually or physically harassed stay quiet because they do not know who to approach. Law enforcement machinery in various states is alive to the problem and a number of helplines have been set up specifically for women and children to help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list given below is a short list of the numbers that the </w:t>
      </w:r>
      <w:r w:rsidRPr="00000000" w:rsidR="00000000" w:rsidDel="00000000">
        <w:rPr>
          <w:rFonts w:cs="Trebuchet MS" w:hAnsi="Trebuchet MS" w:eastAsia="Trebuchet MS" w:ascii="Trebuchet MS"/>
          <w:b w:val="1"/>
          <w:i w:val="1"/>
          <w:rtl w:val="0"/>
        </w:rPr>
        <w:t xml:space="preserve">Delhi Police</w:t>
      </w:r>
      <w:r w:rsidRPr="00000000" w:rsidR="00000000" w:rsidDel="00000000">
        <w:rPr>
          <w:rFonts w:cs="Trebuchet MS" w:hAnsi="Trebuchet MS" w:eastAsia="Trebuchet MS" w:ascii="Trebuchet MS"/>
          <w:rtl w:val="0"/>
        </w:rPr>
        <w:t xml:space="preserve"> has set up for helping women and children. The numbers may vary from state to state or may not even exist in some.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Child and women helpline numbers in Delhi:</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Children’s helpline - 1098 (for homeless children)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Women - 1091 &amp; 011-24121234</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Women’s helpline - 181</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To inform about any crime, including terrorism - 1090</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Anti-obscene calls - 1096, 011-27894455; Fax - 011-27292523</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Anti-stalking cells - 1096, 011-27894455; Fax - 011-27292523. You can also SMS at: 09911135446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detailed list of all helplines operated by the Delhi Police can be found here:</w:t>
      </w:r>
    </w:p>
    <w:p w:rsidP="00000000" w:rsidRPr="00000000" w:rsidR="00000000" w:rsidDel="00000000" w:rsidRDefault="00000000">
      <w:pPr>
        <w:jc w:val="both"/>
      </w:pPr>
      <w:hyperlink r:id="rId5">
        <w:r w:rsidRPr="00000000" w:rsidR="00000000" w:rsidDel="00000000">
          <w:rPr>
            <w:rFonts w:cs="Trebuchet MS" w:hAnsi="Trebuchet MS" w:eastAsia="Trebuchet MS" w:ascii="Trebuchet MS"/>
            <w:color w:val="1155cc"/>
            <w:u w:val="single"/>
            <w:rtl w:val="0"/>
          </w:rPr>
          <w:t xml:space="preserve">http://www.delhipolice.nic.in/home/helpline/helpline.aspx</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delhipolice.nic.in/home/helpline/helpline.aspx"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policeHelplineNumbers_knowTheLaw.docx</dc:title>
</cp:coreProperties>
</file>