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Welcome to Know The Law!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website is setup and maintained with the sole purpose of getting more citizens to understand how laws that govern their actions are enforced, and through this understanding, apply it in the defence of their rights. You may not find many articles arguing for or against the death penalty or the finer nuances of the right to free speech and reasonable restrictions thereon, but you will find articles that explain your rights if you are arrested or the documents you need to carry in your car so a traffic cop does not unduly harass you.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But I know my fundamental rights. I think I am good.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Wrong.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Very few of us who are not lawyers tend to go beyond the ‘civics and government’ curriculum and know little beyond the sacrosanct nature of our ‘fundamental rights’. The law, however, goes beyond the rights to vote and free speech. India’s constitution is the longest in the world because of detailed Acts, provisions and other sub-bodies of law that cover a number of our actions in society. Not knowing them, or covering up our ignorance with a mere shrug gives the executive (law enforcement agencies) the space to act as they want and with impunity. And as you can read here, ignorance of the law can only work to our disadvantage.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We invite you to explore the website, learn about your rights and in a very small way make this a healthier democracy.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Know The Law Team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welcome_knowTheLaw.docx</dc:title>
</cp:coreProperties>
</file>