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01F38"/>
          <w:sz w:val="38"/>
          <w:szCs w:val="38"/>
        </w:rPr>
        <w:t xml:space="preserve">KYG — HOMEPAGE</w:t>
      </w:r>
    </w:p>
    <w:p>
      <w:pPr>
        <w:spacing w:after="200"/>
      </w:pPr>
      <w:r>
        <w:rPr>
          <w:i/>
          <w:iCs/>
          <w:color w:val="B08A3E"/>
          <w:sz w:val="22"/>
          <w:szCs w:val="22"/>
        </w:rPr>
        <w:t xml:space="preserve">Full Content Copy — Plain Language, AEO/GEO Structured, D2C Conversion Version</w:t>
      </w:r>
    </w:p>
    <w:p>
      <w:pPr>
        <w:spacing w:after="130"/>
      </w:pPr>
      <w:r>
        <w:rPr>
          <w:b w:val="false"/>
          <w:bCs w:val="false"/>
          <w:i w:val="false"/>
          <w:iCs w:val="false"/>
          <w:color w:val="2B2A26"/>
          <w:sz w:val="20"/>
          <w:szCs w:val="20"/>
        </w:rPr>
        <w:t xml:space="preserve">This replaces the current homepage. The core problem with the live version: My Wellness appears in near-identical detail three separate times (nav preview, Wellness Package section, Our Tests section) while Women's Health, Men's Health, and Ancestors In Me — three product lines with genuinely strong copy already written and approved — are buried below a long scroll and absent from the main nav entirely. This version gives all four product lines equal weight and equal visibility, in line with the individual landing pages already built for each.</w:t>
      </w:r>
    </w:p>
    <w:p>
      <w:pPr>
        <w:spacing w:after="130"/>
      </w:pPr>
      <w:r>
        <w:rPr>
          <w:b w:val="false"/>
          <w:bCs w:val="false"/>
          <w:i w:val="false"/>
          <w:iCs w:val="false"/>
          <w:color w:val="2B2A26"/>
          <w:sz w:val="20"/>
          <w:szCs w:val="20"/>
        </w:rPr>
        <w:t xml:space="preserve">This deck uses the same format as the My Wellness, Ancestry, Women's Health, and Men's Health landing page docs — section map first, then full copy, with DESIGN NOTE, AEO/GEO NOTE, and NEEDS CLIENT CONFIRMATION callouts inline. Pricing is still shown as 'Rs X,XXX' throughout, matching the placeholder convention already used across all four LPs — this needs one final pricing pass across the whole site before anything ships.</w:t>
      </w:r>
    </w:p>
    <w:p>
      <w:pPr>
        <w:spacing w:after="110" w:before="300"/>
      </w:pPr>
      <w:r>
        <w:rPr>
          <w:b/>
          <w:bCs/>
          <w:color w:val="B08A3E"/>
          <w:sz w:val="17"/>
          <w:szCs w:val="17"/>
        </w:rPr>
        <w:t xml:space="preserve"/>
      </w:r>
      <w:r>
        <w:rPr>
          <w:b/>
          <w:bCs/>
          <w:color w:val="101F38"/>
          <w:sz w:val="23"/>
          <w:szCs w:val="23"/>
        </w:rPr>
        <w:t xml:space="preserve">Section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01F38" w:val="clear"/>
            <w:tcMar>
              <w:top w:type="dxa" w:w="80"/>
              <w:left w:type="dxa" w:w="120"/>
              <w:bottom w:type="dxa" w:w="80"/>
              <w:right w:type="dxa" w:w="120"/>
            </w:tcMar>
          </w:tcPr>
          <w:p>
            <w:r>
              <w:rPr>
                <w:b/>
                <w:bCs/>
                <w:color w:val="FFFFFF"/>
                <w:sz w:val="18"/>
                <w:szCs w:val="18"/>
              </w:rPr>
              <w:t xml:space="preserve">Section</w:t>
            </w:r>
          </w:p>
        </w:tc>
        <w:tc>
          <w:tcPr>
            <w:shd w:fill="101F38" w:val="clear"/>
            <w:tcMar>
              <w:top w:type="dxa" w:w="80"/>
              <w:left w:type="dxa" w:w="120"/>
              <w:bottom w:type="dxa" w:w="80"/>
              <w:right w:type="dxa" w:w="120"/>
            </w:tcMar>
          </w:tcPr>
          <w:p>
            <w:r>
              <w:rPr>
                <w:b/>
                <w:bCs/>
                <w:color w:val="FFFFFF"/>
                <w:sz w:val="18"/>
                <w:szCs w:val="18"/>
              </w:rPr>
              <w:t xml:space="preserve">What it does</w:t>
            </w:r>
          </w:p>
        </w:tc>
      </w:tr>
      <w:tr>
        <w:tc>
          <w:tcPr>
            <w:tcMar>
              <w:top w:type="dxa" w:w="80"/>
              <w:left w:type="dxa" w:w="120"/>
              <w:bottom w:type="dxa" w:w="80"/>
              <w:right w:type="dxa" w:w="120"/>
            </w:tcMar>
          </w:tcPr>
          <w:p>
            <w:r>
              <w:rPr>
                <w:b w:val="false"/>
                <w:bCs w:val="false"/>
                <w:color w:val="2B2A26"/>
                <w:sz w:val="18"/>
                <w:szCs w:val="18"/>
              </w:rPr>
              <w:t xml:space="preserve">0 — Navigation</w:t>
            </w:r>
          </w:p>
        </w:tc>
        <w:tc>
          <w:tcPr>
            <w:tcMar>
              <w:top w:type="dxa" w:w="80"/>
              <w:left w:type="dxa" w:w="120"/>
              <w:bottom w:type="dxa" w:w="80"/>
              <w:right w:type="dxa" w:w="120"/>
            </w:tcMar>
          </w:tcPr>
          <w:p>
            <w:r>
              <w:rPr>
                <w:b w:val="false"/>
                <w:bCs w:val="false"/>
                <w:color w:val="2B2A26"/>
                <w:sz w:val="18"/>
                <w:szCs w:val="18"/>
              </w:rPr>
              <w:t xml:space="preserve">Fixes the biggest structural gap: all 4 tests get top-level nav parity.</w:t>
            </w:r>
          </w:p>
        </w:tc>
      </w:tr>
      <w:tr>
        <w:tc>
          <w:tcPr>
            <w:tcMar>
              <w:top w:type="dxa" w:w="80"/>
              <w:left w:type="dxa" w:w="120"/>
              <w:bottom w:type="dxa" w:w="80"/>
              <w:right w:type="dxa" w:w="120"/>
            </w:tcMar>
          </w:tcPr>
          <w:p>
            <w:r>
              <w:rPr>
                <w:b w:val="false"/>
                <w:bCs w:val="false"/>
                <w:color w:val="2B2A26"/>
                <w:sz w:val="18"/>
                <w:szCs w:val="18"/>
              </w:rPr>
              <w:t xml:space="preserve">1 — Hero</w:t>
            </w:r>
          </w:p>
        </w:tc>
        <w:tc>
          <w:tcPr>
            <w:tcMar>
              <w:top w:type="dxa" w:w="80"/>
              <w:left w:type="dxa" w:w="120"/>
              <w:bottom w:type="dxa" w:w="80"/>
              <w:right w:type="dxa" w:w="120"/>
            </w:tcMar>
          </w:tcPr>
          <w:p>
            <w:r>
              <w:rPr>
                <w:b w:val="false"/>
                <w:bCs w:val="false"/>
                <w:color w:val="2B2A26"/>
                <w:sz w:val="18"/>
                <w:szCs w:val="18"/>
              </w:rPr>
              <w:t xml:space="preserve">Brand-level headline + four product anchors, not just Wellness. First CTA.</w:t>
            </w:r>
          </w:p>
        </w:tc>
      </w:tr>
      <w:tr>
        <w:tc>
          <w:tcPr>
            <w:tcMar>
              <w:top w:type="dxa" w:w="80"/>
              <w:left w:type="dxa" w:w="120"/>
              <w:bottom w:type="dxa" w:w="80"/>
              <w:right w:type="dxa" w:w="120"/>
            </w:tcMar>
          </w:tcPr>
          <w:p>
            <w:r>
              <w:rPr>
                <w:b w:val="false"/>
                <w:bCs w:val="false"/>
                <w:color w:val="2B2A26"/>
                <w:sz w:val="18"/>
                <w:szCs w:val="18"/>
              </w:rPr>
              <w:t xml:space="preserve">2 — The KYG Story</w:t>
            </w:r>
          </w:p>
        </w:tc>
        <w:tc>
          <w:tcPr>
            <w:tcMar>
              <w:top w:type="dxa" w:w="80"/>
              <w:left w:type="dxa" w:w="120"/>
              <w:bottom w:type="dxa" w:w="80"/>
              <w:right w:type="dxa" w:w="120"/>
            </w:tcMar>
          </w:tcPr>
          <w:p>
            <w:r>
              <w:rPr>
                <w:b w:val="false"/>
                <w:bCs w:val="false"/>
                <w:color w:val="2B2A26"/>
                <w:sz w:val="18"/>
                <w:szCs w:val="18"/>
              </w:rPr>
              <w:t xml:space="preserve">The Aadhaar hook, broadened to cover all 5 reports, not just diet/fitness.</w:t>
            </w:r>
          </w:p>
        </w:tc>
      </w:tr>
      <w:tr>
        <w:tc>
          <w:tcPr>
            <w:tcMar>
              <w:top w:type="dxa" w:w="80"/>
              <w:left w:type="dxa" w:w="120"/>
              <w:bottom w:type="dxa" w:w="80"/>
              <w:right w:type="dxa" w:w="120"/>
            </w:tcMar>
          </w:tcPr>
          <w:p>
            <w:r>
              <w:rPr>
                <w:b w:val="false"/>
                <w:bCs w:val="false"/>
                <w:color w:val="2B2A26"/>
                <w:sz w:val="18"/>
                <w:szCs w:val="18"/>
              </w:rPr>
              <w:t xml:space="preserve">3 — Choose Your Test</w:t>
            </w:r>
          </w:p>
        </w:tc>
        <w:tc>
          <w:tcPr>
            <w:tcMar>
              <w:top w:type="dxa" w:w="80"/>
              <w:left w:type="dxa" w:w="120"/>
              <w:bottom w:type="dxa" w:w="80"/>
              <w:right w:type="dxa" w:w="120"/>
            </w:tcMar>
          </w:tcPr>
          <w:p>
            <w:r>
              <w:rPr>
                <w:b w:val="false"/>
                <w:bCs w:val="false"/>
                <w:color w:val="2B2A26"/>
                <w:sz w:val="18"/>
                <w:szCs w:val="18"/>
              </w:rPr>
              <w:t xml:space="preserve">NEW. Four equal-weight product cards. Replaces the tripled Wellness content.</w:t>
            </w:r>
          </w:p>
        </w:tc>
      </w:tr>
      <w:tr>
        <w:tc>
          <w:tcPr>
            <w:tcMar>
              <w:top w:type="dxa" w:w="80"/>
              <w:left w:type="dxa" w:w="120"/>
              <w:bottom w:type="dxa" w:w="80"/>
              <w:right w:type="dxa" w:w="120"/>
            </w:tcMar>
          </w:tcPr>
          <w:p>
            <w:r>
              <w:rPr>
                <w:b w:val="false"/>
                <w:bCs w:val="false"/>
                <w:color w:val="2B2A26"/>
                <w:sz w:val="18"/>
                <w:szCs w:val="18"/>
              </w:rPr>
              <w:t xml:space="preserve">4 — The Stat Wall</w:t>
            </w:r>
          </w:p>
        </w:tc>
        <w:tc>
          <w:tcPr>
            <w:tcMar>
              <w:top w:type="dxa" w:w="80"/>
              <w:left w:type="dxa" w:w="120"/>
              <w:bottom w:type="dxa" w:w="80"/>
              <w:right w:type="dxa" w:w="120"/>
            </w:tcMar>
          </w:tcPr>
          <w:p>
            <w:r>
              <w:rPr>
                <w:b w:val="false"/>
                <w:bCs w:val="false"/>
                <w:color w:val="2B2A26"/>
                <w:sz w:val="18"/>
                <w:szCs w:val="18"/>
              </w:rPr>
              <w:t xml:space="preserve">One sharp, sourced stat per product line. Peak proof moment. CTA after.</w:t>
            </w:r>
          </w:p>
        </w:tc>
      </w:tr>
      <w:tr>
        <w:tc>
          <w:tcPr>
            <w:tcMar>
              <w:top w:type="dxa" w:w="80"/>
              <w:left w:type="dxa" w:w="120"/>
              <w:bottom w:type="dxa" w:w="80"/>
              <w:right w:type="dxa" w:w="120"/>
            </w:tcMar>
          </w:tcPr>
          <w:p>
            <w:r>
              <w:rPr>
                <w:b w:val="false"/>
                <w:bCs w:val="false"/>
                <w:color w:val="2B2A26"/>
                <w:sz w:val="18"/>
                <w:szCs w:val="18"/>
              </w:rPr>
              <w:t xml:space="preserve">5 — Sample Report Preview</w:t>
            </w:r>
          </w:p>
        </w:tc>
        <w:tc>
          <w:tcPr>
            <w:tcMar>
              <w:top w:type="dxa" w:w="80"/>
              <w:left w:type="dxa" w:w="120"/>
              <w:bottom w:type="dxa" w:w="80"/>
              <w:right w:type="dxa" w:w="120"/>
            </w:tcMar>
          </w:tcPr>
          <w:p>
            <w:r>
              <w:rPr>
                <w:b w:val="false"/>
                <w:bCs w:val="false"/>
                <w:color w:val="2B2A26"/>
                <w:sz w:val="18"/>
                <w:szCs w:val="18"/>
              </w:rPr>
              <w:t xml:space="preserve">One generic report mock-up. Trimmed from 3 repeats to 1.</w:t>
            </w:r>
          </w:p>
        </w:tc>
      </w:tr>
      <w:tr>
        <w:tc>
          <w:tcPr>
            <w:tcMar>
              <w:top w:type="dxa" w:w="80"/>
              <w:left w:type="dxa" w:w="120"/>
              <w:bottom w:type="dxa" w:w="80"/>
              <w:right w:type="dxa" w:w="120"/>
            </w:tcMar>
          </w:tcPr>
          <w:p>
            <w:r>
              <w:rPr>
                <w:b w:val="false"/>
                <w:bCs w:val="false"/>
                <w:color w:val="2B2A26"/>
                <w:sz w:val="18"/>
                <w:szCs w:val="18"/>
              </w:rPr>
              <w:t xml:space="preserve">6 — How It Works</w:t>
            </w:r>
          </w:p>
        </w:tc>
        <w:tc>
          <w:tcPr>
            <w:tcMar>
              <w:top w:type="dxa" w:w="80"/>
              <w:left w:type="dxa" w:w="120"/>
              <w:bottom w:type="dxa" w:w="80"/>
              <w:right w:type="dxa" w:w="120"/>
            </w:tcMar>
          </w:tcPr>
          <w:p>
            <w:r>
              <w:rPr>
                <w:b w:val="false"/>
                <w:bCs w:val="false"/>
                <w:color w:val="2B2A26"/>
                <w:sz w:val="18"/>
                <w:szCs w:val="18"/>
              </w:rPr>
              <w:t xml:space="preserve">5 steps. Identical process across all products — shown once, not per-page.</w:t>
            </w:r>
          </w:p>
        </w:tc>
      </w:tr>
      <w:tr>
        <w:tc>
          <w:tcPr>
            <w:tcMar>
              <w:top w:type="dxa" w:w="80"/>
              <w:left w:type="dxa" w:w="120"/>
              <w:bottom w:type="dxa" w:w="80"/>
              <w:right w:type="dxa" w:w="120"/>
            </w:tcMar>
          </w:tcPr>
          <w:p>
            <w:r>
              <w:rPr>
                <w:b w:val="false"/>
                <w:bCs w:val="false"/>
                <w:color w:val="2B2A26"/>
                <w:sz w:val="18"/>
                <w:szCs w:val="18"/>
              </w:rPr>
              <w:t xml:space="preserve">7 — GENEous Care</w:t>
            </w:r>
          </w:p>
        </w:tc>
        <w:tc>
          <w:tcPr>
            <w:tcMar>
              <w:top w:type="dxa" w:w="80"/>
              <w:left w:type="dxa" w:w="120"/>
              <w:bottom w:type="dxa" w:w="80"/>
              <w:right w:type="dxa" w:w="120"/>
            </w:tcMar>
          </w:tcPr>
          <w:p>
            <w:r>
              <w:rPr>
                <w:b w:val="false"/>
                <w:bCs w:val="false"/>
                <w:color w:val="2B2A26"/>
                <w:sz w:val="18"/>
                <w:szCs w:val="18"/>
              </w:rPr>
              <w:t xml:space="preserve">Brand-level counselling section. One clean pass.</w:t>
            </w:r>
          </w:p>
        </w:tc>
      </w:tr>
      <w:tr>
        <w:tc>
          <w:tcPr>
            <w:tcMar>
              <w:top w:type="dxa" w:w="80"/>
              <w:left w:type="dxa" w:w="120"/>
              <w:bottom w:type="dxa" w:w="80"/>
              <w:right w:type="dxa" w:w="120"/>
            </w:tcMar>
          </w:tcPr>
          <w:p>
            <w:r>
              <w:rPr>
                <w:b w:val="false"/>
                <w:bCs w:val="false"/>
                <w:color w:val="2B2A26"/>
                <w:sz w:val="18"/>
                <w:szCs w:val="18"/>
              </w:rPr>
              <w:t xml:space="preserve">8 — Trust &amp; Credentials</w:t>
            </w:r>
          </w:p>
        </w:tc>
        <w:tc>
          <w:tcPr>
            <w:tcMar>
              <w:top w:type="dxa" w:w="80"/>
              <w:left w:type="dxa" w:w="120"/>
              <w:bottom w:type="dxa" w:w="80"/>
              <w:right w:type="dxa" w:w="120"/>
            </w:tcMar>
          </w:tcPr>
          <w:p>
            <w:r>
              <w:rPr>
                <w:b w:val="false"/>
                <w:bCs w:val="false"/>
                <w:color w:val="2B2A26"/>
                <w:sz w:val="18"/>
                <w:szCs w:val="18"/>
              </w:rPr>
              <w:t xml:space="preserve">Certifications + Dr. Varun Sharma expert card. Brand-level, shown once.</w:t>
            </w:r>
          </w:p>
        </w:tc>
      </w:tr>
      <w:tr>
        <w:tc>
          <w:tcPr>
            <w:tcMar>
              <w:top w:type="dxa" w:w="80"/>
              <w:left w:type="dxa" w:w="120"/>
              <w:bottom w:type="dxa" w:w="80"/>
              <w:right w:type="dxa" w:w="120"/>
            </w:tcMar>
          </w:tcPr>
          <w:p>
            <w:r>
              <w:rPr>
                <w:b w:val="false"/>
                <w:bCs w:val="false"/>
                <w:color w:val="2B2A26"/>
                <w:sz w:val="18"/>
                <w:szCs w:val="18"/>
              </w:rPr>
              <w:t xml:space="preserve">9 — Popular Combos</w:t>
            </w:r>
          </w:p>
        </w:tc>
        <w:tc>
          <w:tcPr>
            <w:tcMar>
              <w:top w:type="dxa" w:w="80"/>
              <w:left w:type="dxa" w:w="120"/>
              <w:bottom w:type="dxa" w:w="80"/>
              <w:right w:type="dxa" w:w="120"/>
            </w:tcMar>
          </w:tcPr>
          <w:p>
            <w:r>
              <w:rPr>
                <w:b w:val="false"/>
                <w:bCs w:val="false"/>
                <w:color w:val="2B2A26"/>
                <w:sz w:val="18"/>
                <w:szCs w:val="18"/>
              </w:rPr>
              <w:t xml:space="preserve">Bundle nudge: Know Before You Begin, The Complete You, Couple's Blueprint.</w:t>
            </w:r>
          </w:p>
        </w:tc>
      </w:tr>
      <w:tr>
        <w:tc>
          <w:tcPr>
            <w:tcMar>
              <w:top w:type="dxa" w:w="80"/>
              <w:left w:type="dxa" w:w="120"/>
              <w:bottom w:type="dxa" w:w="80"/>
              <w:right w:type="dxa" w:w="120"/>
            </w:tcMar>
          </w:tcPr>
          <w:p>
            <w:r>
              <w:rPr>
                <w:b w:val="false"/>
                <w:bCs w:val="false"/>
                <w:color w:val="2B2A26"/>
                <w:sz w:val="18"/>
                <w:szCs w:val="18"/>
              </w:rPr>
              <w:t xml:space="preserve">10 — Health Decoded</w:t>
            </w:r>
          </w:p>
        </w:tc>
        <w:tc>
          <w:tcPr>
            <w:tcMar>
              <w:top w:type="dxa" w:w="80"/>
              <w:left w:type="dxa" w:w="120"/>
              <w:bottom w:type="dxa" w:w="80"/>
              <w:right w:type="dxa" w:w="120"/>
            </w:tcMar>
          </w:tcPr>
          <w:p>
            <w:r>
              <w:rPr>
                <w:b w:val="false"/>
                <w:bCs w:val="false"/>
                <w:color w:val="2B2A26"/>
                <w:sz w:val="18"/>
                <w:szCs w:val="18"/>
              </w:rPr>
              <w:t xml:space="preserve">Blog teaser — flagged: do not publish until articles are live.</w:t>
            </w:r>
          </w:p>
        </w:tc>
      </w:tr>
      <w:tr>
        <w:tc>
          <w:tcPr>
            <w:tcMar>
              <w:top w:type="dxa" w:w="80"/>
              <w:left w:type="dxa" w:w="120"/>
              <w:bottom w:type="dxa" w:w="80"/>
              <w:right w:type="dxa" w:w="120"/>
            </w:tcMar>
          </w:tcPr>
          <w:p>
            <w:r>
              <w:rPr>
                <w:b w:val="false"/>
                <w:bCs w:val="false"/>
                <w:color w:val="2B2A26"/>
                <w:sz w:val="18"/>
                <w:szCs w:val="18"/>
              </w:rPr>
              <w:t xml:space="preserve">11 — Homepage FAQ</w:t>
            </w:r>
          </w:p>
        </w:tc>
        <w:tc>
          <w:tcPr>
            <w:tcMar>
              <w:top w:type="dxa" w:w="80"/>
              <w:left w:type="dxa" w:w="120"/>
              <w:bottom w:type="dxa" w:w="80"/>
              <w:right w:type="dxa" w:w="120"/>
            </w:tcMar>
          </w:tcPr>
          <w:p>
            <w:r>
              <w:rPr>
                <w:b w:val="false"/>
                <w:bCs w:val="false"/>
                <w:color w:val="2B2A26"/>
                <w:sz w:val="18"/>
                <w:szCs w:val="18"/>
              </w:rPr>
              <w:t xml:space="preserve">NEW. Brand-level FAQs the current homepage doesn't have.</w:t>
            </w:r>
          </w:p>
        </w:tc>
      </w:tr>
      <w:tr>
        <w:tc>
          <w:tcPr>
            <w:tcMar>
              <w:top w:type="dxa" w:w="80"/>
              <w:left w:type="dxa" w:w="120"/>
              <w:bottom w:type="dxa" w:w="80"/>
              <w:right w:type="dxa" w:w="120"/>
            </w:tcMar>
          </w:tcPr>
          <w:p>
            <w:r>
              <w:rPr>
                <w:b w:val="false"/>
                <w:bCs w:val="false"/>
                <w:color w:val="2B2A26"/>
                <w:sz w:val="18"/>
                <w:szCs w:val="18"/>
              </w:rPr>
              <w:t xml:space="preserve">12 — Final CTA</w:t>
            </w:r>
          </w:p>
        </w:tc>
        <w:tc>
          <w:tcPr>
            <w:tcMar>
              <w:top w:type="dxa" w:w="80"/>
              <w:left w:type="dxa" w:w="120"/>
              <w:bottom w:type="dxa" w:w="80"/>
              <w:right w:type="dxa" w:w="120"/>
            </w:tcMar>
          </w:tcPr>
          <w:p>
            <w:r>
              <w:rPr>
                <w:b w:val="false"/>
                <w:bCs w:val="false"/>
                <w:color w:val="2B2A26"/>
                <w:sz w:val="18"/>
                <w:szCs w:val="18"/>
              </w:rPr>
              <w:t xml:space="preserve">Confident close, mirrors the four product lines one more time.</w:t>
            </w:r>
          </w:p>
        </w:tc>
      </w:tr>
    </w:tbl>
    <w:p>
      <w:pPr>
        <w:pBdr>
          <w:bottom w:val="single" w:color="D9CBA3" w:sz="4" w:space="1"/>
        </w:pBdr>
        <w:spacing w:after="200" w:before="200"/>
      </w:pPr>
    </w:p>
    <w:p>
      <w:pPr>
        <w:pStyle w:val="Heading1"/>
        <w:pBdr>
          <w:bottom w:val="single" w:color="B08A3E" w:sz="6" w:space="6"/>
        </w:pBdr>
        <w:spacing w:after="200" w:before="480"/>
      </w:pPr>
      <w:r>
        <w:rPr>
          <w:b/>
          <w:bCs/>
          <w:color w:val="101F38"/>
          <w:sz w:val="30"/>
          <w:szCs w:val="30"/>
        </w:rPr>
        <w:t xml:space="preserve">SECTION 0 — NAVIGATION</w:t>
      </w:r>
    </w:p>
    <w:p>
      <w:pPr>
        <w:spacing w:after="130"/>
      </w:pPr>
      <w:r>
        <w:rPr>
          <w:b/>
          <w:bCs/>
          <w:i w:val="false"/>
          <w:iCs w:val="false"/>
          <w:color w:val="2B2A26"/>
          <w:sz w:val="20"/>
          <w:szCs w:val="20"/>
        </w:rPr>
        <w:t xml:space="preserve">Home  |  My Wellness  |  Women's Health  |  Men's Health  |  Ancestors In Me  |  Bundles  |  Health Decoded  |  Book a Call / Order</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This is the single highest-priority fix on the whole homepage. The current nav shows only 'Wellness Package' and 'Men's Health' — Women's Health and Ancestors In Me aren't reachable from the top nav at all today, despite having complete, ready-to-ship landing pages. All four products get equal top-level billing here. 'Bundles' is a new top-level item since currently the bundle cards on the live site link to nothing.</w:t>
      </w:r>
    </w:p>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KYG Senior Care exists as a section on the current live homepage but has no landing page copy yet (not part of the four docs this deck was built from). Recommend keeping it out of the main nav and off the homepage body until it has a proper LP, same treatment as the other four — otherwise it's launched with less rigor than everything around it. A small mention in the footer is fine in the meantime.</w:t>
      </w:r>
    </w:p>
    <w:p>
      <w:r>
        <w:br w:type="page"/>
      </w:r>
    </w:p>
    <w:p>
      <w:pPr>
        <w:pStyle w:val="Heading1"/>
        <w:pBdr>
          <w:bottom w:val="single" w:color="B08A3E" w:sz="6" w:space="6"/>
        </w:pBdr>
        <w:spacing w:after="200" w:before="480"/>
      </w:pPr>
      <w:r>
        <w:rPr>
          <w:b/>
          <w:bCs/>
          <w:color w:val="101F38"/>
          <w:sz w:val="30"/>
          <w:szCs w:val="30"/>
        </w:rPr>
        <w:t xml:space="preserve">SECTION 1 — HERO</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Copy principle: the homepage hero cannot lead with Wellness-only language the way the My Wellness LP does — that's what caused the imbalance in the first place. It needs to name the brand-level idea (your genes explain the differences) and then let four product anchors — not one — carry the reader toward whichever test is relevant to them.</w:t>
      </w:r>
    </w:p>
    <w:p>
      <w:pPr>
        <w:spacing w:after="110" w:before="300"/>
      </w:pPr>
      <w:r>
        <w:rPr>
          <w:b/>
          <w:bCs/>
          <w:color w:val="B08A3E"/>
          <w:sz w:val="17"/>
          <w:szCs w:val="17"/>
        </w:rPr>
        <w:t xml:space="preserve"/>
      </w:r>
      <w:r>
        <w:rPr>
          <w:b/>
          <w:bCs/>
          <w:color w:val="101F38"/>
          <w:sz w:val="23"/>
          <w:szCs w:val="23"/>
        </w:rPr>
        <w:t xml:space="preserve">Badge</w:t>
      </w:r>
    </w:p>
    <w:p>
      <w:pPr>
        <w:spacing w:after="130"/>
      </w:pPr>
      <w:r>
        <w:rPr>
          <w:b w:val="false"/>
          <w:bCs w:val="false"/>
          <w:i w:val="false"/>
          <w:iCs w:val="false"/>
          <w:color w:val="2B2A26"/>
          <w:sz w:val="20"/>
          <w:szCs w:val="20"/>
        </w:rPr>
        <w:t xml:space="preserve">Know Your Genes  |  5 Genetic Reports  |  1 Saliva Kit Per Test  |  NABL Certified Lab</w:t>
      </w:r>
    </w:p>
    <w:p>
      <w:pPr>
        <w:spacing w:after="110" w:before="300"/>
      </w:pPr>
      <w:r>
        <w:rPr>
          <w:b/>
          <w:bCs/>
          <w:color w:val="B08A3E"/>
          <w:sz w:val="17"/>
          <w:szCs w:val="17"/>
        </w:rPr>
        <w:t xml:space="preserve"/>
      </w:r>
      <w:r>
        <w:rPr>
          <w:b/>
          <w:bCs/>
          <w:color w:val="101F38"/>
          <w:sz w:val="23"/>
          <w:szCs w:val="23"/>
        </w:rPr>
        <w:t xml:space="preserve">Headline</w:t>
      </w:r>
    </w:p>
    <w:p>
      <w:pPr>
        <w:spacing w:after="100"/>
      </w:pPr>
      <w:r>
        <w:rPr>
          <w:b/>
          <w:bCs/>
          <w:color w:val="101F38"/>
          <w:sz w:val="26"/>
          <w:szCs w:val="26"/>
        </w:rPr>
        <w:t xml:space="preserve">Your body already carries
clues about your future.</w:t>
      </w:r>
    </w:p>
    <w:p>
      <w:pPr>
        <w:spacing w:after="110" w:before="300"/>
      </w:pPr>
      <w:r>
        <w:rPr>
          <w:b/>
          <w:bCs/>
          <w:color w:val="B08A3E"/>
          <w:sz w:val="17"/>
          <w:szCs w:val="17"/>
        </w:rPr>
        <w:t xml:space="preserve"/>
      </w:r>
      <w:r>
        <w:rPr>
          <w:b/>
          <w:bCs/>
          <w:color w:val="101F38"/>
          <w:sz w:val="23"/>
          <w:szCs w:val="23"/>
        </w:rPr>
        <w:t xml:space="preserve">Subheading</w:t>
      </w:r>
    </w:p>
    <w:p>
      <w:pPr>
        <w:spacing w:after="130"/>
      </w:pPr>
      <w:r>
        <w:rPr>
          <w:b w:val="false"/>
          <w:bCs w:val="false"/>
          <w:i w:val="false"/>
          <w:iCs w:val="false"/>
          <w:color w:val="2B2A26"/>
          <w:sz w:val="20"/>
          <w:szCs w:val="20"/>
        </w:rPr>
        <w:t xml:space="preserve">From how your body handles food and fitness, to health risks specific to you, to where your bloodline actually comes from — KYG turns one saliva sample into answers plain English can explain.</w:t>
      </w:r>
    </w:p>
    <w:p>
      <w:pPr>
        <w:spacing w:after="110" w:before="300"/>
      </w:pPr>
      <w:r>
        <w:rPr>
          <w:b/>
          <w:bCs/>
          <w:color w:val="B08A3E"/>
          <w:sz w:val="17"/>
          <w:szCs w:val="17"/>
        </w:rPr>
        <w:t xml:space="preserve"/>
      </w:r>
      <w:r>
        <w:rPr>
          <w:b/>
          <w:bCs/>
          <w:color w:val="101F38"/>
          <w:sz w:val="23"/>
          <w:szCs w:val="23"/>
        </w:rPr>
        <w:t xml:space="preserve">The Four Product Anchors (shown as four large standalone lines, not a list)</w:t>
      </w:r>
    </w:p>
    <w:p>
      <w:pPr>
        <w:spacing w:after="130"/>
      </w:pPr>
      <w:r>
        <w:rPr>
          <w:b w:val="false"/>
          <w:bCs w:val="false"/>
          <w:i w:val="false"/>
          <w:iCs w:val="false"/>
          <w:color w:val="2B2A26"/>
          <w:sz w:val="20"/>
          <w:szCs w:val="20"/>
        </w:rPr>
        <w:t xml:space="preserve">What your body needs to eat, move, and recover.  →  My Wellness</w:t>
      </w:r>
    </w:p>
    <w:p>
      <w:pPr>
        <w:spacing w:after="130"/>
      </w:pPr>
      <w:r>
        <w:rPr>
          <w:b w:val="false"/>
          <w:bCs w:val="false"/>
          <w:i w:val="false"/>
          <w:iCs w:val="false"/>
          <w:color w:val="2B2A26"/>
          <w:sz w:val="20"/>
          <w:szCs w:val="20"/>
        </w:rPr>
        <w:t xml:space="preserve">The health risks specific to being a woman in India.  →  Women's Health</w:t>
      </w:r>
    </w:p>
    <w:p>
      <w:pPr>
        <w:spacing w:after="130"/>
      </w:pPr>
      <w:r>
        <w:rPr>
          <w:b w:val="false"/>
          <w:bCs w:val="false"/>
          <w:i w:val="false"/>
          <w:iCs w:val="false"/>
          <w:color w:val="2B2A26"/>
          <w:sz w:val="20"/>
          <w:szCs w:val="20"/>
        </w:rPr>
        <w:t xml:space="preserve">The health risks men rarely get tested for.  →  Men's Health</w:t>
      </w:r>
    </w:p>
    <w:p>
      <w:pPr>
        <w:spacing w:after="130"/>
      </w:pPr>
      <w:r>
        <w:rPr>
          <w:b w:val="false"/>
          <w:bCs w:val="false"/>
          <w:i w:val="false"/>
          <w:iCs w:val="false"/>
          <w:color w:val="2B2A26"/>
          <w:sz w:val="20"/>
          <w:szCs w:val="20"/>
        </w:rPr>
        <w:t xml:space="preserve">Where your bloodline actually comes from.  →  Ancestors In Me</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Each anchor line is a direct, clickable link to its product's landing page. This is the mechanism that fixes the imbalance: a first-time visitor sees all four doors within the first screen, not just one.</w:t>
      </w:r>
    </w:p>
    <w:p>
      <w:pPr>
        <w:spacing w:after="110" w:before="300"/>
      </w:pPr>
      <w:r>
        <w:rPr>
          <w:b/>
          <w:bCs/>
          <w:color w:val="B08A3E"/>
          <w:sz w:val="17"/>
          <w:szCs w:val="17"/>
        </w:rPr>
        <w:t xml:space="preserve"/>
      </w:r>
      <w:r>
        <w:rPr>
          <w:b/>
          <w:bCs/>
          <w:color w:val="101F38"/>
          <w:sz w:val="23"/>
          <w:szCs w:val="23"/>
        </w:rPr>
        <w:t xml:space="preserve">Hero CTA</w:t>
      </w:r>
    </w:p>
    <w:p>
      <w:pPr>
        <w:spacing w:after="130"/>
      </w:pPr>
      <w:r>
        <w:rPr>
          <w:b/>
          <w:bCs/>
          <w:i w:val="false"/>
          <w:iCs w:val="false"/>
          <w:color w:val="2B2A26"/>
          <w:sz w:val="20"/>
          <w:szCs w:val="20"/>
        </w:rPr>
        <w:t xml:space="preserve">PRIMARY: Find My Test →  (short quiz: 3 questions, routes to the right product)</w:t>
      </w:r>
    </w:p>
    <w:p>
      <w:pPr>
        <w:spacing w:after="130"/>
      </w:pPr>
      <w:r>
        <w:rPr>
          <w:b w:val="false"/>
          <w:bCs w:val="false"/>
          <w:i w:val="false"/>
          <w:iCs w:val="false"/>
          <w:color w:val="2B2A26"/>
          <w:sz w:val="20"/>
          <w:szCs w:val="20"/>
        </w:rPr>
        <w:t xml:space="preserve">SECONDARY (text link, smaller, below): or explore all tests below ↓</w:t>
      </w:r>
    </w:p>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This deck assumes a short 'Find My Test' quiz exists or can be built (3 questions — e.g. sex, primary goal, curious vs. concerned — routing to the matching product page). If that's not buildable in this release, the primary CTA should default to 'Explore All Tests →' and scroll to Section 3 instead. A single generic 'Order Now' button, with five products behind it, is the wrong default for a multi-product hero.</w:t>
      </w:r>
    </w:p>
    <w:p>
      <w:pPr>
        <w:spacing w:after="110" w:before="300"/>
      </w:pPr>
      <w:r>
        <w:rPr>
          <w:b/>
          <w:bCs/>
          <w:color w:val="B08A3E"/>
          <w:sz w:val="17"/>
          <w:szCs w:val="17"/>
        </w:rPr>
        <w:t xml:space="preserve"/>
      </w:r>
      <w:r>
        <w:rPr>
          <w:b/>
          <w:bCs/>
          <w:color w:val="101F38"/>
          <w:sz w:val="23"/>
          <w:szCs w:val="23"/>
        </w:rPr>
        <w:t xml:space="preserve">Stats Bar (4 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5</w:t>
                  </w:r>
                </w:p>
                <w:p>
                  <w:pPr>
                    <w:jc w:val="center"/>
                  </w:pPr>
                  <w:r>
                    <w:rPr>
                      <w:color w:val="2B2A26"/>
                      <w:sz w:val="16"/>
                      <w:szCs w:val="16"/>
                    </w:rPr>
                    <w:t xml:space="preserve">Genetic reports</w:t>
                  </w:r>
                </w:p>
              </w:tc>
            </w:tr>
          </w:tbl>
          <w:p/>
        </w:tc>
        <w:tc>
          <w:tcPr>
            <w:tcW w:type="pct" w:w="25%"/>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52 + 42,000+</w:t>
                  </w:r>
                </w:p>
                <w:p>
                  <w:pPr>
                    <w:jc w:val="center"/>
                  </w:pPr>
                  <w:r>
                    <w:rPr>
                      <w:color w:val="2B2A26"/>
                      <w:sz w:val="16"/>
                      <w:szCs w:val="16"/>
                    </w:rPr>
                    <w:t xml:space="preserve">Wellness traits / Ancestry markers</w:t>
                  </w:r>
                </w:p>
              </w:tc>
            </w:tr>
          </w:tbl>
          <w:p/>
        </w:tc>
        <w:tc>
          <w:tcPr>
            <w:tcW w:type="pct" w:w="25%"/>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NABL</w:t>
                  </w:r>
                </w:p>
                <w:p>
                  <w:pPr>
                    <w:jc w:val="center"/>
                  </w:pPr>
                  <w:r>
                    <w:rPr>
                      <w:color w:val="2B2A26"/>
                      <w:sz w:val="16"/>
                      <w:szCs w:val="16"/>
                    </w:rPr>
                    <w:t xml:space="preserve">Certified lab</w:t>
                  </w:r>
                </w:p>
              </w:tc>
            </w:tr>
          </w:tbl>
          <w:p/>
        </w:tc>
        <w:tc>
          <w:tcPr>
            <w:tcW w:type="pct" w:w="25%"/>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7 days</w:t>
                  </w:r>
                </w:p>
                <w:p>
                  <w:pPr>
                    <w:jc w:val="center"/>
                  </w:pPr>
                  <w:r>
                    <w:rPr>
                      <w:color w:val="2B2A26"/>
                      <w:sz w:val="16"/>
                      <w:szCs w:val="16"/>
                    </w:rPr>
                    <w:t xml:space="preserve">Results, every report</w:t>
                  </w:r>
                </w:p>
              </w:tc>
            </w:tr>
          </w:tbl>
          <w:p/>
        </w:tc>
      </w:tr>
    </w:tbl>
    <w:p>
      <w:pPr>
        <w:pStyle w:val="Heading1"/>
        <w:pBdr>
          <w:bottom w:val="single" w:color="B08A3E" w:sz="6" w:space="6"/>
        </w:pBdr>
        <w:spacing w:after="200" w:before="480"/>
      </w:pPr>
      <w:r>
        <w:rPr>
          <w:b/>
          <w:bCs/>
          <w:color w:val="101F38"/>
          <w:sz w:val="30"/>
          <w:szCs w:val="30"/>
        </w:rPr>
        <w:t xml:space="preserve">SECTION 2 — THE KYG STORY</w:t>
      </w:r>
    </w:p>
    <w:p>
      <w:pPr>
        <w:spacing w:after="100"/>
      </w:pPr>
      <w:r>
        <w:rPr>
          <w:b/>
          <w:bCs/>
          <w:color w:val="101F38"/>
          <w:sz w:val="26"/>
          <w:szCs w:val="26"/>
        </w:rPr>
        <w:t xml:space="preserve">You know your Aadhaar number better than your own health risks.</w:t>
      </w:r>
    </w:p>
    <w:p>
      <w:pPr>
        <w:spacing w:after="130"/>
      </w:pPr>
      <w:r>
        <w:rPr>
          <w:b w:val="false"/>
          <w:bCs w:val="false"/>
          <w:i w:val="false"/>
          <w:iCs w:val="false"/>
          <w:color w:val="2B2A26"/>
          <w:sz w:val="20"/>
          <w:szCs w:val="20"/>
        </w:rPr>
        <w:t xml:space="preserve">You track your money. Your calories. Your steps. Your sleep. Even your investments. But do you actually understand your own body?</w:t>
      </w:r>
    </w:p>
    <w:p>
      <w:pPr>
        <w:spacing w:after="130"/>
      </w:pPr>
      <w:r>
        <w:rPr>
          <w:b w:val="false"/>
          <w:bCs w:val="false"/>
          <w:i w:val="false"/>
          <w:iCs w:val="false"/>
          <w:color w:val="2B2A26"/>
          <w:sz w:val="20"/>
          <w:szCs w:val="20"/>
        </w:rPr>
        <w:t xml:space="preserve">The diet that transformed your colleague. The workout everyone swears by. The health scare that runs in someone else's family but somehow skips theirs. If none of it lines up for you, it's not because you didn't try hard enough — your body was never given the instructions everyone else is following.</w:t>
      </w:r>
    </w:p>
    <w:p>
      <w:pPr>
        <w:spacing w:after="130"/>
      </w:pPr>
      <w:r>
        <w:rPr>
          <w:b/>
          <w:bCs/>
          <w:i w:val="false"/>
          <w:iCs w:val="false"/>
          <w:color w:val="2B2A26"/>
          <w:sz w:val="20"/>
          <w:szCs w:val="20"/>
        </w:rPr>
        <w:t xml:space="preserve">KYG reads those instructions — whatever they cover for you. Diet and fitness. Hormones and fertility. Bone health and PCOS risk. Or the 50,000-year story of where you actually come from. One saliva sample, decoded in plain English.</w:t>
      </w:r>
    </w:p>
    <w:p>
      <w:r>
        <w:br w:type="page"/>
      </w:r>
    </w:p>
    <w:p>
      <w:pPr>
        <w:pStyle w:val="Heading1"/>
        <w:pBdr>
          <w:bottom w:val="single" w:color="B08A3E" w:sz="6" w:space="6"/>
        </w:pBdr>
        <w:spacing w:after="200" w:before="480"/>
      </w:pPr>
      <w:r>
        <w:rPr>
          <w:b/>
          <w:bCs/>
          <w:color w:val="101F38"/>
          <w:sz w:val="30"/>
          <w:szCs w:val="30"/>
        </w:rPr>
        <w:t xml:space="preserve">SECTION 3 — CHOOSE YOUR TEST</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This section does not exist on the current homepage in this form — it replaces both the 'Wellness Package' section and the 'Our Tests' section, which currently repeat the same four Wellness reports. Four cards, equal size, equal visual weight. This is the direct fix for what was flagged: right now a visitor has to scroll past Wellness three times before reaching Women's Health once.</w:t>
      </w:r>
    </w:p>
    <w:p>
      <w:pPr>
        <w:spacing w:after="100"/>
      </w:pPr>
      <w:r>
        <w:rPr>
          <w:b/>
          <w:bCs/>
          <w:color w:val="101F38"/>
          <w:sz w:val="26"/>
          <w:szCs w:val="26"/>
        </w:rPr>
        <w:t xml:space="preserve">One saliva kit. Four ways to understand yourself.</w:t>
      </w:r>
    </w:p>
    <w:p>
      <w:pPr>
        <w:spacing w:after="130"/>
      </w:pPr>
      <w:r>
        <w:rPr>
          <w:b w:val="false"/>
          <w:bCs w:val="false"/>
          <w:i w:val="false"/>
          <w:iCs w:val="false"/>
          <w:color w:val="2B2A26"/>
          <w:sz w:val="20"/>
          <w:szCs w:val="20"/>
        </w:rPr>
        <w:t xml:space="preserve">Each test starts with the same 5-minute saliva collection at home. What it reveals is different. Pick the one that answers your question.</w:t>
      </w:r>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60"/>
              <w:left w:type="dxa" w:w="220"/>
              <w:bottom w:type="dxa" w:w="160"/>
              <w:right w:type="dxa" w:w="220"/>
            </w:tcMar>
          </w:tcPr>
          <w:p>
            <w:pPr>
              <w:spacing w:after="60"/>
            </w:pPr>
            <w:r>
              <w:rPr>
                <w:b/>
                <w:bCs/>
                <w:color w:val="101F38"/>
                <w:spacing w:val="8"/>
                <w:sz w:val="23"/>
                <w:szCs w:val="23"/>
              </w:rPr>
              <w:t xml:space="preserve">MY WELLNESS</w:t>
            </w:r>
          </w:p>
          <w:p>
            <w:pPr>
              <w:spacing w:after="100"/>
            </w:pPr>
            <w:r>
              <w:rPr>
                <w:b/>
                <w:bCs/>
                <w:color w:val="101F38"/>
                <w:sz w:val="20"/>
                <w:szCs w:val="20"/>
              </w:rPr>
              <w:t xml:space="preserve">Same diet. Same effort. Different results.</w:t>
            </w:r>
          </w:p>
          <w:p>
            <w:pPr>
              <w:pStyle w:val="ListParagraph"/>
              <w:numPr>
                <w:ilvl w:val="0"/>
                <w:numId w:val="1"/>
              </w:numPr>
              <w:spacing w:after="30"/>
            </w:pPr>
            <w:r>
              <w:rPr>
                <w:color w:val="2B2A26"/>
                <w:sz w:val="18"/>
                <w:szCs w:val="18"/>
              </w:rPr>
              <w:t xml:space="preserve">4 reports: Diet, Weight, Fitness, Detox</w:t>
            </w:r>
          </w:p>
          <w:p>
            <w:pPr>
              <w:pStyle w:val="ListParagraph"/>
              <w:numPr>
                <w:ilvl w:val="0"/>
                <w:numId w:val="1"/>
              </w:numPr>
              <w:spacing w:after="30"/>
            </w:pPr>
            <w:r>
              <w:rPr>
                <w:color w:val="2B2A26"/>
                <w:sz w:val="18"/>
                <w:szCs w:val="18"/>
              </w:rPr>
              <w:t xml:space="preserve">52 traits from one saliva kit</w:t>
            </w:r>
          </w:p>
          <w:p>
            <w:pPr>
              <w:pStyle w:val="ListParagraph"/>
              <w:numPr>
                <w:ilvl w:val="0"/>
                <w:numId w:val="1"/>
              </w:numPr>
              <w:spacing w:after="30"/>
            </w:pPr>
            <w:r>
              <w:rPr>
                <w:color w:val="2B2A26"/>
                <w:sz w:val="18"/>
                <w:szCs w:val="18"/>
              </w:rPr>
              <w:t xml:space="preserve">Results in 7 days</w:t>
            </w:r>
          </w:p>
          <w:p>
            <w:pPr>
              <w:spacing w:before="100"/>
            </w:pPr>
            <w:r>
              <w:rPr>
                <w:b/>
                <w:bCs/>
                <w:color w:val="B08A3E"/>
                <w:sz w:val="19"/>
                <w:szCs w:val="19"/>
              </w:rPr>
              <w:t xml:space="preserve">Explore My Wellness — Rs X,XXX →</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0DAD4" w:val="clear"/>
            <w:tcMar>
              <w:top w:type="dxa" w:w="160"/>
              <w:left w:type="dxa" w:w="220"/>
              <w:bottom w:type="dxa" w:w="160"/>
              <w:right w:type="dxa" w:w="220"/>
            </w:tcMar>
          </w:tcPr>
          <w:p>
            <w:pPr>
              <w:spacing w:after="60"/>
            </w:pPr>
            <w:r>
              <w:rPr>
                <w:b/>
                <w:bCs/>
                <w:color w:val="101F38"/>
                <w:spacing w:val="8"/>
                <w:sz w:val="23"/>
                <w:szCs w:val="23"/>
              </w:rPr>
              <w:t xml:space="preserve">WOMEN'S HEALTH</w:t>
            </w:r>
          </w:p>
          <w:p>
            <w:pPr>
              <w:spacing w:after="100"/>
            </w:pPr>
            <w:r>
              <w:rPr>
                <w:b/>
                <w:bCs/>
                <w:color w:val="101F38"/>
                <w:sz w:val="20"/>
                <w:szCs w:val="20"/>
              </w:rPr>
              <w:t xml:space="preserve">1 in 5 Indian women has PCOS. Most never learn why.</w:t>
            </w:r>
          </w:p>
          <w:p>
            <w:pPr>
              <w:pStyle w:val="ListParagraph"/>
              <w:numPr>
                <w:ilvl w:val="0"/>
                <w:numId w:val="1"/>
              </w:numPr>
              <w:spacing w:after="30"/>
            </w:pPr>
            <w:r>
              <w:rPr>
                <w:color w:val="2B2A26"/>
                <w:sz w:val="18"/>
                <w:szCs w:val="18"/>
              </w:rPr>
              <w:t xml:space="preserve">5 tests: PCOS, pregnancy loss, post-pregnancy depression, bone weakness, joint pain</w:t>
            </w:r>
          </w:p>
          <w:p>
            <w:pPr>
              <w:pStyle w:val="ListParagraph"/>
              <w:numPr>
                <w:ilvl w:val="0"/>
                <w:numId w:val="1"/>
              </w:numPr>
              <w:spacing w:after="30"/>
            </w:pPr>
            <w:r>
              <w:rPr>
                <w:color w:val="2B2A26"/>
                <w:sz w:val="18"/>
                <w:szCs w:val="18"/>
              </w:rPr>
              <w:t xml:space="preserve">Results in 7 days</w:t>
            </w:r>
          </w:p>
          <w:p>
            <w:pPr>
              <w:spacing w:before="100"/>
            </w:pPr>
            <w:r>
              <w:rPr>
                <w:b/>
                <w:bCs/>
                <w:color w:val="B08A3E"/>
                <w:sz w:val="19"/>
                <w:szCs w:val="19"/>
              </w:rPr>
              <w:t xml:space="preserve">Explore Women's Health — Rs X,XXX →</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DCE3D2" w:val="clear"/>
            <w:tcMar>
              <w:top w:type="dxa" w:w="160"/>
              <w:left w:type="dxa" w:w="220"/>
              <w:bottom w:type="dxa" w:w="160"/>
              <w:right w:type="dxa" w:w="220"/>
            </w:tcMar>
          </w:tcPr>
          <w:p>
            <w:pPr>
              <w:spacing w:after="60"/>
            </w:pPr>
            <w:r>
              <w:rPr>
                <w:b/>
                <w:bCs/>
                <w:color w:val="101F38"/>
                <w:spacing w:val="8"/>
                <w:sz w:val="23"/>
                <w:szCs w:val="23"/>
              </w:rPr>
              <w:t xml:space="preserve">MEN'S HEALTH</w:t>
            </w:r>
          </w:p>
          <w:p>
            <w:pPr>
              <w:spacing w:after="100"/>
            </w:pPr>
            <w:r>
              <w:rPr>
                <w:b/>
                <w:bCs/>
                <w:color w:val="101F38"/>
                <w:sz w:val="20"/>
                <w:szCs w:val="20"/>
              </w:rPr>
              <w:t xml:space="preserve">Men rarely get tested until something goes wrong.</w:t>
            </w:r>
          </w:p>
          <w:p>
            <w:pPr>
              <w:pStyle w:val="ListParagraph"/>
              <w:numPr>
                <w:ilvl w:val="0"/>
                <w:numId w:val="1"/>
              </w:numPr>
              <w:spacing w:after="30"/>
            </w:pPr>
            <w:r>
              <w:rPr>
                <w:color w:val="2B2A26"/>
                <w:sz w:val="18"/>
                <w:szCs w:val="18"/>
              </w:rPr>
              <w:t xml:space="preserve">3 tests: fertility, hormones, hair loss</w:t>
            </w:r>
          </w:p>
          <w:p>
            <w:pPr>
              <w:pStyle w:val="ListParagraph"/>
              <w:numPr>
                <w:ilvl w:val="0"/>
                <w:numId w:val="1"/>
              </w:numPr>
              <w:spacing w:after="30"/>
            </w:pPr>
            <w:r>
              <w:rPr>
                <w:color w:val="2B2A26"/>
                <w:sz w:val="18"/>
                <w:szCs w:val="18"/>
              </w:rPr>
              <w:t xml:space="preserve">Results in 7 days</w:t>
            </w:r>
          </w:p>
          <w:p>
            <w:pPr>
              <w:spacing w:before="100"/>
            </w:pPr>
            <w:r>
              <w:rPr>
                <w:b/>
                <w:bCs/>
                <w:color w:val="B08A3E"/>
                <w:sz w:val="19"/>
                <w:szCs w:val="19"/>
              </w:rPr>
              <w:t xml:space="preserve">Explore Men's Health — Rs X,XXX →</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E8D9B5" w:val="clear"/>
            <w:tcMar>
              <w:top w:type="dxa" w:w="160"/>
              <w:left w:type="dxa" w:w="220"/>
              <w:bottom w:type="dxa" w:w="160"/>
              <w:right w:type="dxa" w:w="220"/>
            </w:tcMar>
          </w:tcPr>
          <w:p>
            <w:pPr>
              <w:spacing w:after="60"/>
            </w:pPr>
            <w:r>
              <w:rPr>
                <w:b/>
                <w:bCs/>
                <w:color w:val="101F38"/>
                <w:spacing w:val="8"/>
                <w:sz w:val="23"/>
                <w:szCs w:val="23"/>
              </w:rPr>
              <w:t xml:space="preserve">ANCESTORS IN ME</w:t>
            </w:r>
          </w:p>
          <w:p>
            <w:pPr>
              <w:spacing w:after="100"/>
            </w:pPr>
            <w:r>
              <w:rPr>
                <w:b/>
                <w:bCs/>
                <w:color w:val="101F38"/>
                <w:sz w:val="20"/>
                <w:szCs w:val="20"/>
              </w:rPr>
              <w:t xml:space="preserve">KYC toh kar liya. Ab apni asli identity jaano.</w:t>
            </w:r>
          </w:p>
          <w:p>
            <w:pPr>
              <w:pStyle w:val="ListParagraph"/>
              <w:numPr>
                <w:ilvl w:val="0"/>
                <w:numId w:val="1"/>
              </w:numPr>
              <w:spacing w:after="30"/>
            </w:pPr>
            <w:r>
              <w:rPr>
                <w:color w:val="2B2A26"/>
                <w:sz w:val="18"/>
                <w:szCs w:val="18"/>
              </w:rPr>
              <w:t xml:space="preserve">42,000+ markers analysed across up to 10 global regions</w:t>
            </w:r>
          </w:p>
          <w:p>
            <w:pPr>
              <w:pStyle w:val="ListParagraph"/>
              <w:numPr>
                <w:ilvl w:val="0"/>
                <w:numId w:val="1"/>
              </w:numPr>
              <w:spacing w:after="30"/>
            </w:pPr>
            <w:r>
              <w:rPr>
                <w:color w:val="2B2A26"/>
                <w:sz w:val="18"/>
                <w:szCs w:val="18"/>
              </w:rPr>
              <w:t xml:space="preserve">Includes your written Gene Journey story</w:t>
            </w:r>
          </w:p>
          <w:p>
            <w:pPr>
              <w:pStyle w:val="ListParagraph"/>
              <w:numPr>
                <w:ilvl w:val="0"/>
                <w:numId w:val="1"/>
              </w:numPr>
              <w:spacing w:after="30"/>
            </w:pPr>
            <w:r>
              <w:rPr>
                <w:color w:val="2B2A26"/>
                <w:sz w:val="18"/>
                <w:szCs w:val="18"/>
              </w:rPr>
              <w:t xml:space="preserve">Results in 7 days</w:t>
            </w:r>
          </w:p>
          <w:p>
            <w:pPr>
              <w:spacing w:before="100"/>
            </w:pPr>
            <w:r>
              <w:rPr>
                <w:b/>
                <w:bCs/>
                <w:color w:val="B08A3E"/>
                <w:sz w:val="19"/>
                <w:szCs w:val="19"/>
              </w:rPr>
              <w:t xml:space="preserve">Explore Ancestors In Me — Rs X,XXX →</w:t>
            </w:r>
          </w:p>
        </w:tc>
      </w:tr>
    </w:tbl>
    <w:p>
      <w:pPr>
        <w:pBdr>
          <w:left w:val="single" w:color="1E6E62" w:sz="12" w:space="8"/>
        </w:pBdr>
        <w:spacing w:after="180" w:before="80"/>
        <w:ind w:left="360"/>
      </w:pPr>
      <w:r>
        <w:rPr>
          <w:b/>
          <w:bCs/>
          <w:i/>
          <w:iCs/>
          <w:color w:val="1E6E62"/>
          <w:sz w:val="18"/>
          <w:szCs w:val="18"/>
        </w:rPr>
        <w:t xml:space="preserve">AEO / GEO NOTE — </w:t>
      </w:r>
      <w:r>
        <w:rPr>
          <w:i/>
          <w:iCs/>
          <w:color w:val="6B6B66"/>
          <w:sz w:val="18"/>
          <w:szCs w:val="18"/>
        </w:rPr>
        <w:t xml:space="preserve">Each card's headline should be its own H2/H3 with a direct anchor link to its landing page — same principle as the anchor tags used inside each individual LP. This lets AI engines and search surface each product independently rather than only 'KYG Wellness Package', which is currently the only product the homepage meaningfully represents in its text content.</w:t>
      </w:r>
    </w:p>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Pricing for all four products still needs to be finalised and inserted here — this is the same open item flagged across all four individual LPs. Recommend resolving pricing once, centrally, rather than per-page, since it needs to be consistent everywhere it appears.</w:t>
      </w:r>
    </w:p>
    <w:p>
      <w:r>
        <w:br w:type="page"/>
      </w:r>
    </w:p>
    <w:p>
      <w:pPr>
        <w:pStyle w:val="Heading1"/>
        <w:pBdr>
          <w:bottom w:val="single" w:color="B08A3E" w:sz="6" w:space="6"/>
        </w:pBdr>
        <w:spacing w:after="200" w:before="480"/>
      </w:pPr>
      <w:r>
        <w:rPr>
          <w:b/>
          <w:bCs/>
          <w:color w:val="101F38"/>
          <w:sz w:val="30"/>
          <w:szCs w:val="30"/>
        </w:rPr>
        <w:t xml:space="preserve">SECTION 4 — THE STAT WALL</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Copy principle: instead of one India-specific stat (as each individual LP has), the homepage shows one stat per product line, side by side. This does two things at once — it's the strongest brand-level proof moment on the page, and it reinforces all four products together instead of just one.</w:t>
      </w:r>
    </w:p>
    <w:p>
      <w:pPr>
        <w:spacing w:after="100"/>
      </w:pPr>
      <w:r>
        <w:rPr>
          <w:b/>
          <w:bCs/>
          <w:color w:val="101F38"/>
          <w:sz w:val="26"/>
          <w:szCs w:val="26"/>
        </w:rPr>
        <w:t xml:space="preserve">Four questions your genes have been answering the whole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Mar>
              <w:top w:type="dxa" w:w="100"/>
              <w:left w:type="dxa" w:w="100"/>
              <w:bottom w:type="dxa" w:w="100"/>
              <w:right w:type="dxa" w:w="100"/>
            </w:tcMar>
          </w:tcPr>
          <w:p>
            <w:r>
              <w:rPr>
                <w:b/>
                <w:bCs/>
                <w:color w:val="101F38"/>
                <w:sz w:val="19"/>
                <w:szCs w:val="19"/>
              </w:rPr>
              <w:t xml:space="preserve">Indians with the FTO gene risk variant on a high-carb diet had 2.46× the obesity risk.</w:t>
            </w:r>
          </w:p>
          <w:p>
            <w:r>
              <w:rPr>
                <w:i/>
                <w:iCs/>
                <w:color w:val="6B6B66"/>
                <w:sz w:val="17"/>
                <w:szCs w:val="17"/>
              </w:rPr>
              <w:t xml:space="preserve">We eat rice and roti every day. Most of us don't know which side of that statistic we're on. — My Wellness</w:t>
            </w:r>
          </w:p>
        </w:tc>
        <w:tc>
          <w:tcPr>
            <w:tcW w:type="pct" w:w="50%"/>
            <w:tcMar>
              <w:top w:type="dxa" w:w="100"/>
              <w:left w:type="dxa" w:w="100"/>
              <w:bottom w:type="dxa" w:w="100"/>
              <w:right w:type="dxa" w:w="100"/>
            </w:tcMar>
          </w:tcPr>
          <w:p>
            <w:r>
              <w:rPr>
                <w:b/>
                <w:bCs/>
                <w:color w:val="101F38"/>
                <w:sz w:val="19"/>
                <w:szCs w:val="19"/>
              </w:rPr>
              <w:t xml:space="preserve">1 in 5 Indian women has PCOS.</w:t>
            </w:r>
          </w:p>
          <w:p>
            <w:r>
              <w:rPr>
                <w:i/>
                <w:iCs/>
                <w:color w:val="6B6B66"/>
                <w:sz w:val="17"/>
                <w:szCs w:val="17"/>
              </w:rPr>
              <w:t xml:space="preserve">Most spend years not knowing why their body behaves the way it does. — Women's Health</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Mar>
              <w:top w:type="dxa" w:w="100"/>
              <w:left w:type="dxa" w:w="100"/>
              <w:bottom w:type="dxa" w:w="100"/>
              <w:right w:type="dxa" w:w="100"/>
            </w:tcMar>
          </w:tcPr>
          <w:p>
            <w:r>
              <w:rPr>
                <w:b/>
                <w:bCs/>
                <w:color w:val="101F38"/>
                <w:sz w:val="19"/>
                <w:szCs w:val="19"/>
              </w:rPr>
              <w:t xml:space="preserve">1 in 8 couples find it hard to have a baby.</w:t>
            </w:r>
          </w:p>
          <w:p>
            <w:r>
              <w:rPr>
                <w:i/>
                <w:iCs/>
                <w:color w:val="6B6B66"/>
                <w:sz w:val="17"/>
                <w:szCs w:val="17"/>
              </w:rPr>
              <w:t xml:space="preserve">In almost half of those cases, the reason is with the man. Most never find out why. — Men's Health</w:t>
            </w:r>
          </w:p>
        </w:tc>
        <w:tc>
          <w:tcPr>
            <w:tcW w:type="pct" w:w="50%"/>
            <w:tcMar>
              <w:top w:type="dxa" w:w="100"/>
              <w:left w:type="dxa" w:w="100"/>
              <w:bottom w:type="dxa" w:w="100"/>
              <w:right w:type="dxa" w:w="100"/>
            </w:tcMar>
          </w:tcPr>
          <w:p>
            <w:r>
              <w:rPr>
                <w:b/>
                <w:bCs/>
                <w:color w:val="101F38"/>
                <w:sz w:val="19"/>
                <w:szCs w:val="19"/>
              </w:rPr>
              <w:t xml:space="preserve">Most Indians can trace their family back 2-3 generations. Your DNA can trace it back 50,000 years.</w:t>
            </w:r>
          </w:p>
          <w:p>
            <w:r>
              <w:rPr>
                <w:i/>
                <w:iCs/>
                <w:color w:val="6B6B66"/>
                <w:sz w:val="17"/>
                <w:szCs w:val="17"/>
              </w:rPr>
              <w:t xml:space="preserve">Across continents, through civilisations, back to the first humans who walked out of Africa. — Ancestors In Me</w:t>
            </w:r>
          </w:p>
        </w:tc>
      </w:tr>
    </w:tbl>
    <w:p>
      <w:pPr>
        <w:pBdr>
          <w:left w:val="single" w:color="1E6E62" w:sz="12" w:space="8"/>
        </w:pBdr>
        <w:spacing w:after="180" w:before="80"/>
        <w:ind w:left="360"/>
      </w:pPr>
      <w:r>
        <w:rPr>
          <w:b/>
          <w:bCs/>
          <w:i/>
          <w:iCs/>
          <w:color w:val="1E6E62"/>
          <w:sz w:val="18"/>
          <w:szCs w:val="18"/>
        </w:rPr>
        <w:t xml:space="preserve">AEO / GEO NOTE — </w:t>
      </w:r>
      <w:r>
        <w:rPr>
          <w:i/>
          <w:iCs/>
          <w:color w:val="6B6B66"/>
          <w:sz w:val="18"/>
          <w:szCs w:val="18"/>
        </w:rPr>
        <w:t xml:space="preserve">Sources per the individual LPs: FTO/carb stat from the CURES Chennai study (PMC4891824) — phrase as 'linked to' / 'associated with', never 'causes'. PCOS and infertility stats should carry the same sourcing discipline when this section is built — pull the citations already used on the respective LPs rather than restating the numbers without attribution here.</w:t>
      </w:r>
    </w:p>
    <w:p>
      <w:pPr>
        <w:spacing w:after="130"/>
      </w:pPr>
      <w:r>
        <w:rPr>
          <w:b/>
          <w:bCs/>
          <w:i w:val="false"/>
          <w:iCs w:val="false"/>
          <w:color w:val="2B2A26"/>
          <w:sz w:val="20"/>
          <w:szCs w:val="20"/>
        </w:rPr>
        <w:t xml:space="preserve">GET MY WELLNESS REPORT →   |   CHECK MY WOMEN'S HEALTH RISK →   |   CHECK MY MEN'S HEALTH RISK →   |   DISCOVER MY ANCESTORS →</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Four small CTAs side by side under the stat wall, each routing to its own product — not one generic button. This is the page's peak-proof moment and it should convert to whichever product the reader just felt the stat for, not to a generic order flow.</w:t>
      </w:r>
    </w:p>
    <w:p>
      <w:pPr>
        <w:pStyle w:val="Heading1"/>
        <w:pBdr>
          <w:bottom w:val="single" w:color="B08A3E" w:sz="6" w:space="6"/>
        </w:pBdr>
        <w:spacing w:after="200" w:before="480"/>
      </w:pPr>
      <w:r>
        <w:rPr>
          <w:b/>
          <w:bCs/>
          <w:color w:val="101F38"/>
          <w:sz w:val="30"/>
          <w:szCs w:val="30"/>
        </w:rPr>
        <w:t xml:space="preserve">SECTION 5 — SAMPLE REPORT PREVIEW</w:t>
      </w:r>
    </w:p>
    <w:p>
      <w:pPr>
        <w:spacing w:after="130"/>
      </w:pPr>
      <w:r>
        <w:rPr>
          <w:b w:val="false"/>
          <w:bCs w:val="false"/>
          <w:i w:val="false"/>
          <w:iCs w:val="false"/>
          <w:color w:val="2B2A26"/>
          <w:sz w:val="20"/>
          <w:szCs w:val="20"/>
        </w:rPr>
        <w:t xml:space="preserve">This is what a KYG report looks like.</w:t>
      </w:r>
    </w:p>
    <w:p>
      <w:pPr>
        <w:spacing w:after="130"/>
      </w:pPr>
      <w:r>
        <w:rPr>
          <w:b w:val="false"/>
          <w:bCs w:val="false"/>
          <w:i w:val="false"/>
          <w:iCs w:val="false"/>
          <w:color w:val="2B2A26"/>
          <w:sz w:val="20"/>
          <w:szCs w:val="20"/>
        </w:rPr>
        <w:t xml:space="preserve">Every trait, in every report across every product, comes back the same way: your result, a risk level, and a plain-language explanation of what to do about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GOOD</w:t>
                  </w:r>
                </w:p>
                <w:p>
                  <w:pPr>
                    <w:jc w:val="center"/>
                  </w:pPr>
                  <w:r>
                    <w:rPr>
                      <w:color w:val="2B2A26"/>
                      <w:sz w:val="16"/>
                      <w:szCs w:val="16"/>
                    </w:rPr>
                    <w:t xml:space="preserve">Low risk — genes in the normal range</w:t>
                  </w:r>
                </w:p>
              </w:tc>
            </w:tr>
          </w:tbl>
          <w:p/>
        </w:tc>
        <w:tc>
          <w:tcPr>
            <w:tcW w:type="pct" w:w="33%"/>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AVERAGE</w:t>
                  </w:r>
                </w:p>
                <w:p>
                  <w:pPr>
                    <w:jc w:val="center"/>
                  </w:pPr>
                  <w:r>
                    <w:rPr>
                      <w:color w:val="2B2A26"/>
                      <w:sz w:val="16"/>
                      <w:szCs w:val="16"/>
                    </w:rPr>
                    <w:t xml:space="preserve">Some tendency — follow the recommendations</w:t>
                  </w:r>
                </w:p>
              </w:tc>
            </w:tr>
          </w:tbl>
          <w:p/>
        </w:tc>
        <w:tc>
          <w:tcPr>
            <w:tcW w:type="pct" w:w="33%"/>
          </w:tcPr>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7F1E4" w:val="clear"/>
                  <w:tcMar>
                    <w:top w:type="dxa" w:w="140"/>
                    <w:left w:type="dxa" w:w="180"/>
                    <w:bottom w:type="dxa" w:w="140"/>
                    <w:right w:type="dxa" w:w="180"/>
                  </w:tcMar>
                </w:tcPr>
                <w:p>
                  <w:pPr>
                    <w:jc w:val="center"/>
                  </w:pPr>
                  <w:r>
                    <w:rPr>
                      <w:b/>
                      <w:bCs/>
                      <w:color w:val="101F38"/>
                      <w:sz w:val="26"/>
                      <w:szCs w:val="26"/>
                    </w:rPr>
                    <w:t xml:space="preserve">POOR</w:t>
                  </w:r>
                </w:p>
                <w:p>
                  <w:pPr>
                    <w:jc w:val="center"/>
                  </w:pPr>
                  <w:r>
                    <w:rPr>
                      <w:color w:val="2B2A26"/>
                      <w:sz w:val="16"/>
                      <w:szCs w:val="16"/>
                    </w:rPr>
                    <w:t xml:space="preserve">Elevated tendency — act, and talk to a specialist</w:t>
                  </w:r>
                </w:p>
              </w:tc>
            </w:tr>
          </w:tbl>
          <w:p/>
        </w:tc>
      </w:tr>
    </w:tbl>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On the live homepage today this concept is shown, but only in the Wellness context. Keep it here as one clean, generic explanation of how results are presented — it applies identically across all four products, so it only needs to be built and explained once.</w:t>
      </w:r>
    </w:p>
    <w:p>
      <w:r>
        <w:br w:type="page"/>
      </w:r>
    </w:p>
    <w:p>
      <w:pPr>
        <w:pStyle w:val="Heading1"/>
        <w:pBdr>
          <w:bottom w:val="single" w:color="B08A3E" w:sz="6" w:space="6"/>
        </w:pBdr>
        <w:spacing w:after="200" w:before="480"/>
      </w:pPr>
      <w:r>
        <w:rPr>
          <w:b/>
          <w:bCs/>
          <w:color w:val="101F38"/>
          <w:sz w:val="30"/>
          <w:szCs w:val="30"/>
        </w:rPr>
        <w:t xml:space="preserve">SECTION 6 — HOW IT WORKS</w:t>
      </w:r>
    </w:p>
    <w:p>
      <w:pPr>
        <w:spacing w:after="130"/>
      </w:pPr>
      <w:r>
        <w:rPr>
          <w:b w:val="false"/>
          <w:bCs w:val="false"/>
          <w:i w:val="false"/>
          <w:iCs w:val="false"/>
          <w:color w:val="2B2A26"/>
          <w:sz w:val="20"/>
          <w:szCs w:val="20"/>
        </w:rPr>
        <w:t xml:space="preserve">From your door to your report. No clinic, no needle, no hassle. Same process, whichever test you choose.</w:t>
      </w:r>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BF7EE" w:val="clear"/>
            <w:tcMar>
              <w:top w:type="dxa" w:w="140"/>
              <w:left w:type="dxa" w:w="200"/>
              <w:bottom w:type="dxa" w:w="140"/>
              <w:right w:type="dxa" w:w="200"/>
            </w:tcMar>
          </w:tcPr>
          <w:p>
            <w:pPr>
              <w:spacing w:after="40"/>
            </w:pPr>
            <w:r>
              <w:rPr>
                <w:b/>
                <w:bCs/>
                <w:color w:val="B08A3E"/>
                <w:sz w:val="18"/>
                <w:szCs w:val="18"/>
              </w:rPr>
              <w:t xml:space="preserve">01</w:t>
            </w:r>
          </w:p>
          <w:p>
            <w:pPr>
              <w:spacing w:after="60"/>
            </w:pPr>
            <w:r>
              <w:rPr>
                <w:b/>
                <w:bCs/>
                <w:color w:val="101F38"/>
                <w:sz w:val="20"/>
                <w:szCs w:val="20"/>
              </w:rPr>
              <w:t xml:space="preserve">Order online</w:t>
            </w:r>
          </w:p>
          <w:p>
            <w:r>
              <w:rPr>
                <w:color w:val="2B2A26"/>
                <w:sz w:val="18"/>
                <w:szCs w:val="18"/>
              </w:rPr>
              <w:t xml:space="preserve">Your kit arrives in 2 to 3 days. Saliva tube, instruction card, and a prepaid return envelope — everything included.</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BF7EE" w:val="clear"/>
            <w:tcMar>
              <w:top w:type="dxa" w:w="140"/>
              <w:left w:type="dxa" w:w="200"/>
              <w:bottom w:type="dxa" w:w="140"/>
              <w:right w:type="dxa" w:w="200"/>
            </w:tcMar>
          </w:tcPr>
          <w:p>
            <w:pPr>
              <w:spacing w:after="40"/>
            </w:pPr>
            <w:r>
              <w:rPr>
                <w:b/>
                <w:bCs/>
                <w:color w:val="B08A3E"/>
                <w:sz w:val="18"/>
                <w:szCs w:val="18"/>
              </w:rPr>
              <w:t xml:space="preserve">02</w:t>
            </w:r>
          </w:p>
          <w:p>
            <w:pPr>
              <w:spacing w:after="60"/>
            </w:pPr>
            <w:r>
              <w:rPr>
                <w:b/>
                <w:bCs/>
                <w:color w:val="101F38"/>
                <w:sz w:val="20"/>
                <w:szCs w:val="20"/>
              </w:rPr>
              <w:t xml:space="preserve">Collect your sample at home in 5 minutes</w:t>
            </w:r>
          </w:p>
          <w:p>
            <w:r>
              <w:rPr>
                <w:color w:val="2B2A26"/>
                <w:sz w:val="18"/>
                <w:szCs w:val="18"/>
              </w:rPr>
              <w:t xml:space="preserve">No needles, no fasting, no appointments. Open the tube, spit, seal. That's the whole collection.</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BF7EE" w:val="clear"/>
            <w:tcMar>
              <w:top w:type="dxa" w:w="140"/>
              <w:left w:type="dxa" w:w="200"/>
              <w:bottom w:type="dxa" w:w="140"/>
              <w:right w:type="dxa" w:w="200"/>
            </w:tcMar>
          </w:tcPr>
          <w:p>
            <w:pPr>
              <w:spacing w:after="40"/>
            </w:pPr>
            <w:r>
              <w:rPr>
                <w:b/>
                <w:bCs/>
                <w:color w:val="B08A3E"/>
                <w:sz w:val="18"/>
                <w:szCs w:val="18"/>
              </w:rPr>
              <w:t xml:space="preserve">03</w:t>
            </w:r>
          </w:p>
          <w:p>
            <w:pPr>
              <w:spacing w:after="60"/>
            </w:pPr>
            <w:r>
              <w:rPr>
                <w:b/>
                <w:bCs/>
                <w:color w:val="101F38"/>
                <w:sz w:val="20"/>
                <w:szCs w:val="20"/>
              </w:rPr>
              <w:t xml:space="preserve">Drop it with the courier</w:t>
            </w:r>
          </w:p>
          <w:p>
            <w:r>
              <w:rPr>
                <w:color w:val="2B2A26"/>
                <w:sz w:val="18"/>
                <w:szCs w:val="18"/>
              </w:rPr>
              <w:t xml:space="preserve">Prepaid, pre-labelled envelope. A courier picks it up from your address — track it in the KYG portal from the moment it's collected.</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BF7EE" w:val="clear"/>
            <w:tcMar>
              <w:top w:type="dxa" w:w="140"/>
              <w:left w:type="dxa" w:w="200"/>
              <w:bottom w:type="dxa" w:w="140"/>
              <w:right w:type="dxa" w:w="200"/>
            </w:tcMar>
          </w:tcPr>
          <w:p>
            <w:pPr>
              <w:spacing w:after="40"/>
            </w:pPr>
            <w:r>
              <w:rPr>
                <w:b/>
                <w:bCs/>
                <w:color w:val="B08A3E"/>
                <w:sz w:val="18"/>
                <w:szCs w:val="18"/>
              </w:rPr>
              <w:t xml:space="preserve">04</w:t>
            </w:r>
          </w:p>
          <w:p>
            <w:pPr>
              <w:spacing w:after="60"/>
            </w:pPr>
            <w:r>
              <w:rPr>
                <w:b/>
                <w:bCs/>
                <w:color w:val="101F38"/>
                <w:sz w:val="20"/>
                <w:szCs w:val="20"/>
              </w:rPr>
              <w:t xml:space="preserve">Our lab processes your sample</w:t>
            </w:r>
          </w:p>
          <w:p>
            <w:r>
              <w:rPr>
                <w:color w:val="2B2A26"/>
                <w:sz w:val="18"/>
                <w:szCs w:val="18"/>
              </w:rPr>
              <w:t xml:space="preserve">Neotech World Lab — NABL accredited, India's highest official lab certification. Illumina genotyping technology. A qualified scientist reviews every result before release.</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BF7EE" w:val="clear"/>
            <w:tcMar>
              <w:top w:type="dxa" w:w="140"/>
              <w:left w:type="dxa" w:w="200"/>
              <w:bottom w:type="dxa" w:w="140"/>
              <w:right w:type="dxa" w:w="200"/>
            </w:tcMar>
          </w:tcPr>
          <w:p>
            <w:pPr>
              <w:spacing w:after="40"/>
            </w:pPr>
            <w:r>
              <w:rPr>
                <w:b/>
                <w:bCs/>
                <w:color w:val="B08A3E"/>
                <w:sz w:val="18"/>
                <w:szCs w:val="18"/>
              </w:rPr>
              <w:t xml:space="preserve">05</w:t>
            </w:r>
          </w:p>
          <w:p>
            <w:pPr>
              <w:spacing w:after="60"/>
            </w:pPr>
            <w:r>
              <w:rPr>
                <w:b/>
                <w:bCs/>
                <w:color w:val="101F38"/>
                <w:sz w:val="20"/>
                <w:szCs w:val="20"/>
              </w:rPr>
              <w:t xml:space="preserve">Your report unlocks in 7 days</w:t>
            </w:r>
          </w:p>
          <w:p>
            <w:r>
              <w:rPr>
                <w:color w:val="2B2A26"/>
                <w:sz w:val="18"/>
                <w:szCs w:val="18"/>
              </w:rPr>
              <w:t xml:space="preserve">Delivered to your KYG account, in plain English. Within 2 days, a GENEous Care counsellor reaches out to book your free 30-minute session.</w:t>
            </w:r>
          </w:p>
        </w:tc>
      </w:tr>
    </w:tbl>
    <w:p>
      <w:pPr>
        <w:pBdr>
          <w:left w:val="single" w:color="1E6E62" w:sz="12" w:space="8"/>
        </w:pBdr>
        <w:spacing w:after="180" w:before="80"/>
        <w:ind w:left="360"/>
      </w:pPr>
      <w:r>
        <w:rPr>
          <w:b/>
          <w:bCs/>
          <w:i/>
          <w:iCs/>
          <w:color w:val="1E6E62"/>
          <w:sz w:val="18"/>
          <w:szCs w:val="18"/>
        </w:rPr>
        <w:t xml:space="preserve">AEO / GEO NOTE — </w:t>
      </w:r>
      <w:r>
        <w:rPr>
          <w:i/>
          <w:iCs/>
          <w:color w:val="6B6B66"/>
          <w:sz w:val="18"/>
          <w:szCs w:val="18"/>
        </w:rPr>
        <w:t xml:space="preserve">Steps as OL + LI, each step title in H3 — matches every individual LP so FAQ schema for 'how does an at-home DNA test work in India' can point to one canonical, site-wide answer instead of four near-duplicate versions.</w:t>
      </w:r>
    </w:p>
    <w:p>
      <w:pPr>
        <w:pStyle w:val="Heading1"/>
        <w:pBdr>
          <w:bottom w:val="single" w:color="B08A3E" w:sz="6" w:space="6"/>
        </w:pBdr>
        <w:spacing w:after="200" w:before="480"/>
      </w:pPr>
      <w:r>
        <w:rPr>
          <w:b/>
          <w:bCs/>
          <w:color w:val="101F38"/>
          <w:sz w:val="30"/>
          <w:szCs w:val="30"/>
        </w:rPr>
        <w:t xml:space="preserve">SECTION 7 — GENEOUS CARE</w:t>
      </w:r>
    </w:p>
    <w:p>
      <w:pPr>
        <w:spacing w:after="100"/>
      </w:pPr>
      <w:r>
        <w:rPr>
          <w:b/>
          <w:bCs/>
          <w:color w:val="101F38"/>
          <w:sz w:val="26"/>
          <w:szCs w:val="26"/>
        </w:rPr>
        <w:t xml:space="preserve">You will not read your report alone.</w:t>
      </w:r>
    </w:p>
    <w:p>
      <w:pPr>
        <w:spacing w:after="130"/>
      </w:pPr>
      <w:r>
        <w:rPr>
          <w:b w:val="false"/>
          <w:bCs w:val="false"/>
          <w:i w:val="false"/>
          <w:iCs w:val="false"/>
          <w:color w:val="2B2A26"/>
          <w:sz w:val="20"/>
          <w:szCs w:val="20"/>
        </w:rPr>
        <w:t xml:space="preserve">GENEous Care is KYG's free counselling service. A real, qualified counsellor reaches out after your report is ready and walks you through it — on WhatsApp, in plain language, no medical jargon.</w:t>
      </w:r>
    </w:p>
    <w:p>
      <w:pPr>
        <w:spacing w:after="130"/>
      </w:pPr>
      <w:r>
        <w:rPr>
          <w:b/>
          <w:bCs/>
          <w:i w:val="false"/>
          <w:iCs w:val="false"/>
          <w:color w:val="2B2A26"/>
          <w:sz w:val="20"/>
          <w:szCs w:val="20"/>
        </w:rPr>
        <w:t xml:space="preserve">Other genetic testing brands send a report and a help-page link. KYG gives you a 30-minute conversation with someone who has already read your specific results and knows exactly what matters for you first.</w:t>
      </w:r>
    </w:p>
    <w:p>
      <w:pPr>
        <w:spacing w:after="130"/>
      </w:pPr>
      <w:r>
        <w:rPr>
          <w:b w:val="false"/>
          <w:bCs w:val="false"/>
          <w:i w:val="false"/>
          <w:iCs w:val="false"/>
          <w:color w:val="2B2A26"/>
          <w:sz w:val="20"/>
          <w:szCs w:val="20"/>
        </w:rPr>
        <w:t xml:space="preserve">Included free with every report, whichever test you order. Counsellor contacts you within 2 days of your report being delivered.</w:t>
      </w:r>
    </w:p>
    <w:p>
      <w:pPr>
        <w:pStyle w:val="Heading1"/>
        <w:pBdr>
          <w:bottom w:val="single" w:color="B08A3E" w:sz="6" w:space="6"/>
        </w:pBdr>
        <w:spacing w:after="200" w:before="480"/>
      </w:pPr>
      <w:r>
        <w:rPr>
          <w:b/>
          <w:bCs/>
          <w:color w:val="101F38"/>
          <w:sz w:val="30"/>
          <w:szCs w:val="30"/>
        </w:rPr>
        <w:t xml:space="preserve">SECTION 8 — TRUST &amp; CREDENTIALS</w:t>
      </w:r>
    </w:p>
    <w:p>
      <w:pPr>
        <w:spacing w:after="130"/>
      </w:pPr>
      <w:r>
        <w:rPr>
          <w:b w:val="false"/>
          <w:bCs w:val="false"/>
          <w:i w:val="false"/>
          <w:iCs w:val="false"/>
          <w:color w:val="2B2A26"/>
          <w:sz w:val="20"/>
          <w:szCs w:val="20"/>
        </w:rPr>
        <w:t xml:space="preserve">The science behind every KYG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01F38" w:val="clear"/>
            <w:tcMar>
              <w:top w:type="dxa" w:w="90"/>
              <w:left w:type="dxa" w:w="130"/>
              <w:bottom w:type="dxa" w:w="90"/>
              <w:right w:type="dxa" w:w="130"/>
            </w:tcMar>
          </w:tcPr>
          <w:p>
            <w:r>
              <w:rPr>
                <w:b/>
                <w:bCs/>
                <w:color w:val="FFFFFF"/>
                <w:sz w:val="18"/>
                <w:szCs w:val="18"/>
              </w:rPr>
              <w:t xml:space="preserve">Certification</w:t>
            </w:r>
          </w:p>
        </w:tc>
        <w:tc>
          <w:tcPr>
            <w:shd w:fill="101F38" w:val="clear"/>
            <w:tcMar>
              <w:top w:type="dxa" w:w="90"/>
              <w:left w:type="dxa" w:w="130"/>
              <w:bottom w:type="dxa" w:w="90"/>
              <w:right w:type="dxa" w:w="130"/>
            </w:tcMar>
          </w:tcPr>
          <w:p>
            <w:r>
              <w:rPr>
                <w:b/>
                <w:bCs/>
                <w:color w:val="FFFFFF"/>
                <w:sz w:val="18"/>
                <w:szCs w:val="18"/>
              </w:rPr>
              <w:t xml:space="preserve">What this means for you</w:t>
            </w:r>
          </w:p>
        </w:tc>
      </w:tr>
      <w:tr>
        <w:tc>
          <w:tcPr>
            <w:tcMar>
              <w:top w:type="dxa" w:w="90"/>
              <w:left w:type="dxa" w:w="130"/>
              <w:bottom w:type="dxa" w:w="90"/>
              <w:right w:type="dxa" w:w="130"/>
            </w:tcMar>
          </w:tcPr>
          <w:p>
            <w:r>
              <w:rPr>
                <w:b w:val="false"/>
                <w:bCs w:val="false"/>
                <w:color w:val="2B2A26"/>
                <w:sz w:val="18"/>
                <w:szCs w:val="18"/>
              </w:rPr>
              <w:t xml:space="preserve">NABL Accredited (ISO 15189) — MC-6400</w:t>
            </w:r>
          </w:p>
        </w:tc>
        <w:tc>
          <w:tcPr>
            <w:tcMar>
              <w:top w:type="dxa" w:w="90"/>
              <w:left w:type="dxa" w:w="130"/>
              <w:bottom w:type="dxa" w:w="90"/>
              <w:right w:type="dxa" w:w="130"/>
            </w:tcMar>
          </w:tcPr>
          <w:p>
            <w:r>
              <w:rPr>
                <w:b w:val="false"/>
                <w:bCs w:val="false"/>
                <w:color w:val="2B2A26"/>
                <w:sz w:val="18"/>
                <w:szCs w:val="18"/>
              </w:rPr>
              <w:t xml:space="preserve">India's highest official certification for testing labs. Your sample is handled under strict, independently verified standards.</w:t>
            </w:r>
          </w:p>
        </w:tc>
      </w:tr>
      <w:tr>
        <w:tc>
          <w:tcPr>
            <w:tcMar>
              <w:top w:type="dxa" w:w="90"/>
              <w:left w:type="dxa" w:w="130"/>
              <w:bottom w:type="dxa" w:w="90"/>
              <w:right w:type="dxa" w:w="130"/>
            </w:tcMar>
          </w:tcPr>
          <w:p>
            <w:r>
              <w:rPr>
                <w:b w:val="false"/>
                <w:bCs w:val="false"/>
                <w:color w:val="2B2A26"/>
                <w:sz w:val="18"/>
                <w:szCs w:val="18"/>
              </w:rPr>
              <w:t xml:space="preserve">ISO 9001:2015 + ISO 27001:2013</w:t>
            </w:r>
          </w:p>
        </w:tc>
        <w:tc>
          <w:tcPr>
            <w:tcMar>
              <w:top w:type="dxa" w:w="90"/>
              <w:left w:type="dxa" w:w="130"/>
              <w:bottom w:type="dxa" w:w="90"/>
              <w:right w:type="dxa" w:w="130"/>
            </w:tcMar>
          </w:tcPr>
          <w:p>
            <w:r>
              <w:rPr>
                <w:b w:val="false"/>
                <w:bCs w:val="false"/>
                <w:color w:val="2B2A26"/>
                <w:sz w:val="18"/>
                <w:szCs w:val="18"/>
              </w:rPr>
              <w:t xml:space="preserve">Quality management and data security certified. Your personal and genetic data is protected at every step.</w:t>
            </w:r>
          </w:p>
        </w:tc>
      </w:tr>
      <w:tr>
        <w:tc>
          <w:tcPr>
            <w:tcMar>
              <w:top w:type="dxa" w:w="90"/>
              <w:left w:type="dxa" w:w="130"/>
              <w:bottom w:type="dxa" w:w="90"/>
              <w:right w:type="dxa" w:w="130"/>
            </w:tcMar>
          </w:tcPr>
          <w:p>
            <w:r>
              <w:rPr>
                <w:b w:val="false"/>
                <w:bCs w:val="false"/>
                <w:color w:val="2B2A26"/>
                <w:sz w:val="18"/>
                <w:szCs w:val="18"/>
              </w:rPr>
              <w:t xml:space="preserve">ACMG + CPIC Guidelines</w:t>
            </w:r>
          </w:p>
        </w:tc>
        <w:tc>
          <w:tcPr>
            <w:tcMar>
              <w:top w:type="dxa" w:w="90"/>
              <w:left w:type="dxa" w:w="130"/>
              <w:bottom w:type="dxa" w:w="90"/>
              <w:right w:type="dxa" w:w="130"/>
            </w:tcMar>
          </w:tcPr>
          <w:p>
            <w:r>
              <w:rPr>
                <w:b w:val="false"/>
                <w:bCs w:val="false"/>
                <w:color w:val="2B2A26"/>
                <w:sz w:val="18"/>
                <w:szCs w:val="18"/>
              </w:rPr>
              <w:t xml:space="preserve">Your reports follow the guidelines of two of the world's leading bodies in genetic science.</w:t>
            </w:r>
          </w:p>
        </w:tc>
      </w:tr>
      <w:tr>
        <w:tc>
          <w:tcPr>
            <w:tcMar>
              <w:top w:type="dxa" w:w="90"/>
              <w:left w:type="dxa" w:w="130"/>
              <w:bottom w:type="dxa" w:w="90"/>
              <w:right w:type="dxa" w:w="130"/>
            </w:tcMar>
          </w:tcPr>
          <w:p>
            <w:r>
              <w:rPr>
                <w:b w:val="false"/>
                <w:bCs w:val="false"/>
                <w:color w:val="2B2A26"/>
                <w:sz w:val="18"/>
                <w:szCs w:val="18"/>
              </w:rPr>
              <w:t xml:space="preserve">Illumina Genotyping Technology</w:t>
            </w:r>
          </w:p>
        </w:tc>
        <w:tc>
          <w:tcPr>
            <w:tcMar>
              <w:top w:type="dxa" w:w="90"/>
              <w:left w:type="dxa" w:w="130"/>
              <w:bottom w:type="dxa" w:w="90"/>
              <w:right w:type="dxa" w:w="130"/>
            </w:tcMar>
          </w:tcPr>
          <w:p>
            <w:r>
              <w:rPr>
                <w:b w:val="false"/>
                <w:bCs w:val="false"/>
                <w:color w:val="2B2A26"/>
                <w:sz w:val="18"/>
                <w:szCs w:val="18"/>
              </w:rPr>
              <w:t xml:space="preserve">The same gene-reading technology used by the world's largest genetic testing companies. 99%+ accuracy.</w:t>
            </w:r>
          </w:p>
        </w:tc>
      </w:tr>
      <w:tr>
        <w:tc>
          <w:tcPr>
            <w:tcMar>
              <w:top w:type="dxa" w:w="90"/>
              <w:left w:type="dxa" w:w="130"/>
              <w:bottom w:type="dxa" w:w="90"/>
              <w:right w:type="dxa" w:w="130"/>
            </w:tcMar>
          </w:tcPr>
          <w:p>
            <w:r>
              <w:rPr>
                <w:b w:val="false"/>
                <w:bCs w:val="false"/>
                <w:color w:val="2B2A26"/>
                <w:sz w:val="18"/>
                <w:szCs w:val="18"/>
              </w:rPr>
              <w:t xml:space="preserve">HIPAA + FDA Standards</w:t>
            </w:r>
          </w:p>
        </w:tc>
        <w:tc>
          <w:tcPr>
            <w:tcMar>
              <w:top w:type="dxa" w:w="90"/>
              <w:left w:type="dxa" w:w="130"/>
              <w:bottom w:type="dxa" w:w="90"/>
              <w:right w:type="dxa" w:w="130"/>
            </w:tcMar>
          </w:tcPr>
          <w:p>
            <w:r>
              <w:rPr>
                <w:b w:val="false"/>
                <w:bCs w:val="false"/>
                <w:color w:val="2B2A26"/>
                <w:sz w:val="18"/>
                <w:szCs w:val="18"/>
              </w:rPr>
              <w:t xml:space="preserve">Your data is handled under international privacy rules. KYG never sells or shares your information.</w:t>
            </w:r>
          </w:p>
        </w:tc>
      </w:tr>
    </w:tbl>
    <w:p/>
    <w:p>
      <w:pPr>
        <w:spacing w:after="130"/>
      </w:pPr>
      <w:r>
        <w:rPr>
          <w:b w:val="false"/>
          <w:bCs w:val="false"/>
          <w:i/>
          <w:iCs/>
          <w:color w:val="2B2A26"/>
          <w:sz w:val="20"/>
          <w:szCs w:val="20"/>
        </w:rPr>
        <w:t xml:space="preserve">Dr. Varun Sharma, Ph.D — Genetic Scientist, Neotech World Lab (MG Road, Gurugram). Every KYG report is personally reviewed by Dr. Sharma's team before it reaches you. 99%+ reproducibility; fewer than 2% of samples ever need rechecking.</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This entire section is currently duplicated near-identically across all four LPs. On the homepage it needs to appear exactly once, at brand level — each individual LP can keep its own copy for visitors who land there directly via search or ads, but the homepage doesn't need to repeat it four times.</w:t>
      </w:r>
    </w:p>
    <w:p>
      <w:r>
        <w:br w:type="page"/>
      </w:r>
    </w:p>
    <w:p>
      <w:pPr>
        <w:pStyle w:val="Heading1"/>
        <w:pBdr>
          <w:bottom w:val="single" w:color="B08A3E" w:sz="6" w:space="6"/>
        </w:pBdr>
        <w:spacing w:after="200" w:before="480"/>
      </w:pPr>
      <w:r>
        <w:rPr>
          <w:b/>
          <w:bCs/>
          <w:color w:val="101F38"/>
          <w:sz w:val="30"/>
          <w:szCs w:val="30"/>
        </w:rPr>
        <w:t xml:space="preserve">SECTION 9 — POPULAR COMBOS</w:t>
      </w:r>
    </w:p>
    <w:p>
      <w:pPr>
        <w:spacing w:after="130"/>
      </w:pPr>
      <w:r>
        <w:rPr>
          <w:b w:val="false"/>
          <w:bCs w:val="false"/>
          <w:i w:val="false"/>
          <w:iCs w:val="false"/>
          <w:color w:val="2B2A26"/>
          <w:sz w:val="20"/>
          <w:szCs w:val="20"/>
        </w:rPr>
        <w:t xml:space="preserve">Want to go further? These go together.</w:t>
      </w:r>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3E7CB" w:val="clear"/>
            <w:tcMar>
              <w:top w:type="dxa" w:w="160"/>
              <w:left w:type="dxa" w:w="220"/>
              <w:bottom w:type="dxa" w:w="160"/>
              <w:right w:type="dxa" w:w="220"/>
            </w:tcMar>
          </w:tcPr>
          <w:p>
            <w:pPr>
              <w:spacing w:after="60"/>
            </w:pPr>
            <w:r>
              <w:rPr>
                <w:b/>
                <w:bCs/>
                <w:color w:val="101F38"/>
                <w:spacing w:val="8"/>
                <w:sz w:val="23"/>
                <w:szCs w:val="23"/>
              </w:rPr>
              <w:t xml:space="preserve">KNOW BEFORE YOU BEGIN</w:t>
            </w:r>
          </w:p>
          <w:p>
            <w:pPr>
              <w:spacing w:after="100"/>
            </w:pPr>
            <w:r>
              <w:rPr>
                <w:b/>
                <w:bCs/>
                <w:color w:val="101F38"/>
                <w:sz w:val="20"/>
                <w:szCs w:val="20"/>
              </w:rPr>
              <w:t xml:space="preserve">For couples getting married or planning a family</w:t>
            </w:r>
          </w:p>
          <w:p>
            <w:pPr>
              <w:pStyle w:val="ListParagraph"/>
              <w:numPr>
                <w:ilvl w:val="0"/>
                <w:numId w:val="1"/>
              </w:numPr>
              <w:spacing w:after="30"/>
            </w:pPr>
            <w:r>
              <w:rPr>
                <w:color w:val="2B2A26"/>
                <w:sz w:val="18"/>
                <w:szCs w:val="18"/>
              </w:rPr>
              <w:t xml:space="preserve">Women's Health + Men's Health + one joint counselling session</w:t>
            </w:r>
          </w:p>
          <w:p>
            <w:pPr>
              <w:spacing w:before="100"/>
            </w:pPr>
            <w:r>
              <w:rPr>
                <w:b/>
                <w:bCs/>
                <w:color w:val="B08A3E"/>
                <w:sz w:val="19"/>
                <w:szCs w:val="19"/>
              </w:rPr>
              <w:t xml:space="preserve">View Bundle — Rs X,XXX →</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DCE3D2" w:val="clear"/>
            <w:tcMar>
              <w:top w:type="dxa" w:w="160"/>
              <w:left w:type="dxa" w:w="220"/>
              <w:bottom w:type="dxa" w:w="160"/>
              <w:right w:type="dxa" w:w="220"/>
            </w:tcMar>
          </w:tcPr>
          <w:p>
            <w:pPr>
              <w:spacing w:after="60"/>
            </w:pPr>
            <w:r>
              <w:rPr>
                <w:b/>
                <w:bCs/>
                <w:color w:val="101F38"/>
                <w:spacing w:val="8"/>
                <w:sz w:val="23"/>
                <w:szCs w:val="23"/>
              </w:rPr>
              <w:t xml:space="preserve">THE COMPLETE YOU</w:t>
            </w:r>
          </w:p>
          <w:p>
            <w:pPr>
              <w:spacing w:after="100"/>
            </w:pPr>
            <w:r>
              <w:rPr>
                <w:b/>
                <w:bCs/>
                <w:color w:val="101F38"/>
                <w:sz w:val="20"/>
                <w:szCs w:val="20"/>
              </w:rPr>
              <w:t xml:space="preserve">The most complete genetic picture available in India</w:t>
            </w:r>
          </w:p>
          <w:p>
            <w:pPr>
              <w:pStyle w:val="ListParagraph"/>
              <w:numPr>
                <w:ilvl w:val="0"/>
                <w:numId w:val="1"/>
              </w:numPr>
              <w:spacing w:after="30"/>
            </w:pPr>
            <w:r>
              <w:rPr>
                <w:color w:val="2B2A26"/>
                <w:sz w:val="18"/>
                <w:szCs w:val="18"/>
              </w:rPr>
              <w:t xml:space="preserve">All 4 health reports + Ancestors In Me</w:t>
            </w:r>
          </w:p>
          <w:p>
            <w:pPr>
              <w:spacing w:before="100"/>
            </w:pPr>
            <w:r>
              <w:rPr>
                <w:b/>
                <w:bCs/>
                <w:color w:val="B08A3E"/>
                <w:sz w:val="19"/>
                <w:szCs w:val="19"/>
              </w:rPr>
              <w:t xml:space="preserve">View Bundle — Rs X,XXX →</w:t>
            </w:r>
          </w:p>
        </w:tc>
      </w:tr>
    </w:tbl>
    <w:p/>
    <w:tbl>
      <w:tblPr>
        <w:tblW w:type="pct" w:w="100%"/>
        <w:tblBorders>
          <w:top w:val="single" w:color="D9CBA3" w:sz="4"/>
          <w:left w:val="single" w:color="D9CBA3" w:sz="4"/>
          <w:bottom w:val="single" w:color="D9CBA3" w:sz="4"/>
          <w:right w:val="single" w:color="D9CBA3" w:sz="4"/>
          <w:insideH w:val="single" w:color="auto" w:sz="4"/>
          <w:insideV w:val="single" w:color="auto" w:sz="4"/>
        </w:tblBorders>
      </w:tblPr>
      <w:tblGrid>
        <w:gridCol w:w="100"/>
      </w:tblGrid>
      <w:tr>
        <w:tc>
          <w:tcPr>
            <w:shd w:fill="F0DAD4" w:val="clear"/>
            <w:tcMar>
              <w:top w:type="dxa" w:w="160"/>
              <w:left w:type="dxa" w:w="220"/>
              <w:bottom w:type="dxa" w:w="160"/>
              <w:right w:type="dxa" w:w="220"/>
            </w:tcMar>
          </w:tcPr>
          <w:p>
            <w:pPr>
              <w:spacing w:after="60"/>
            </w:pPr>
            <w:r>
              <w:rPr>
                <w:b/>
                <w:bCs/>
                <w:color w:val="101F38"/>
                <w:spacing w:val="8"/>
                <w:sz w:val="23"/>
                <w:szCs w:val="23"/>
              </w:rPr>
              <w:t xml:space="preserve">COUPLE'S BLUEPRINT</w:t>
            </w:r>
          </w:p>
          <w:p>
            <w:pPr>
              <w:spacing w:after="100"/>
            </w:pPr>
            <w:r>
              <w:rPr>
                <w:b/>
                <w:bCs/>
                <w:color w:val="101F38"/>
                <w:sz w:val="20"/>
                <w:szCs w:val="20"/>
              </w:rPr>
              <w:t xml:space="preserve">For couples who want everyday health insights, not just family-planning data</w:t>
            </w:r>
          </w:p>
          <w:p>
            <w:pPr>
              <w:pStyle w:val="ListParagraph"/>
              <w:numPr>
                <w:ilvl w:val="0"/>
                <w:numId w:val="1"/>
              </w:numPr>
              <w:spacing w:after="30"/>
            </w:pPr>
            <w:r>
              <w:rPr>
                <w:color w:val="2B2A26"/>
                <w:sz w:val="18"/>
                <w:szCs w:val="18"/>
              </w:rPr>
              <w:t xml:space="preserve">My Wellness + Women's Health + Men's Health</w:t>
            </w:r>
          </w:p>
          <w:p>
            <w:pPr>
              <w:spacing w:before="100"/>
            </w:pPr>
            <w:r>
              <w:rPr>
                <w:b/>
                <w:bCs/>
                <w:color w:val="B08A3E"/>
                <w:sz w:val="19"/>
                <w:szCs w:val="19"/>
              </w:rPr>
              <w:t xml:space="preserve">View Bundle — Rs X,XXX →</w:t>
            </w:r>
          </w:p>
        </w:tc>
      </w:tr>
    </w:tbl>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The three bundle cards on the current live homepage all link to '#' with no price shown. These need real bundle pages and pricing before this section goes live — same issue flagged in the homepage audit.</w:t>
      </w:r>
    </w:p>
    <w:p>
      <w:pPr>
        <w:pStyle w:val="Heading1"/>
        <w:pBdr>
          <w:bottom w:val="single" w:color="B08A3E" w:sz="6" w:space="6"/>
        </w:pBdr>
        <w:spacing w:after="200" w:before="480"/>
      </w:pPr>
      <w:r>
        <w:rPr>
          <w:b/>
          <w:bCs/>
          <w:color w:val="101F38"/>
          <w:sz w:val="30"/>
          <w:szCs w:val="30"/>
        </w:rPr>
        <w:t xml:space="preserve">SECTION 10 — HEALTH DECODED</w:t>
      </w:r>
    </w:p>
    <w:p>
      <w:pPr>
        <w:spacing w:after="130"/>
      </w:pPr>
      <w:r>
        <w:rPr>
          <w:b w:val="false"/>
          <w:bCs w:val="false"/>
          <w:i w:val="false"/>
          <w:iCs w:val="false"/>
          <w:color w:val="2B2A26"/>
          <w:sz w:val="20"/>
          <w:szCs w:val="20"/>
        </w:rPr>
        <w:t xml:space="preserve">Straight answers to the questions Indians actually search about their bodies.</w:t>
      </w:r>
    </w:p>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On the live site, all 'Read article' links under Health Decoded go to '#' — no articles are published yet. Recommend holding this section off the homepage entirely until real, live posts exist. A blog teaser pointing to nothing undermines trust in a category (genetics/health) where trust is everything, and it's an easy thing to notice.</w:t>
      </w:r>
    </w:p>
    <w:p>
      <w:pPr>
        <w:pStyle w:val="Heading1"/>
        <w:pBdr>
          <w:bottom w:val="single" w:color="B08A3E" w:sz="6" w:space="6"/>
        </w:pBdr>
        <w:spacing w:after="200" w:before="480"/>
      </w:pPr>
      <w:r>
        <w:rPr>
          <w:b/>
          <w:bCs/>
          <w:color w:val="101F38"/>
          <w:sz w:val="30"/>
          <w:szCs w:val="30"/>
        </w:rPr>
        <w:t xml:space="preserve">SECTION 11 — HOMEPAGE FAQ</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New section — the current homepage has no FAQ at all, despite every individual LP having 8-9 well-built ones. These are brand-level questions (which test, is this different products or one test, etc.) rather than product-specific ones, which stay on their own LPs.</w:t>
      </w:r>
    </w:p>
    <w:p>
      <w:pPr>
        <w:spacing w:after="130"/>
      </w:pPr>
      <w:r>
        <w:rPr>
          <w:b w:val="false"/>
          <w:bCs w:val="false"/>
          <w:i w:val="false"/>
          <w:iCs w:val="false"/>
          <w:color w:val="2B2A26"/>
          <w:sz w:val="20"/>
          <w:szCs w:val="20"/>
        </w:rPr>
        <w:t xml:space="preserve">Questions people ask before they pick a test.</w:t>
      </w:r>
    </w:p>
    <w:p>
      <w:pPr>
        <w:spacing w:after="40" w:before="160"/>
      </w:pPr>
      <w:r>
        <w:rPr>
          <w:b/>
          <w:bCs/>
          <w:color w:val="B08A3E"/>
          <w:sz w:val="20"/>
          <w:szCs w:val="20"/>
        </w:rPr>
        <w:t xml:space="preserve">Q: </w:t>
      </w:r>
      <w:r>
        <w:rPr>
          <w:b/>
          <w:bCs/>
          <w:color w:val="101F38"/>
          <w:sz w:val="20"/>
          <w:szCs w:val="20"/>
        </w:rPr>
        <w:t xml:space="preserve">Which KYG test should I take?</w:t>
      </w:r>
    </w:p>
    <w:p>
      <w:pPr>
        <w:spacing w:after="60"/>
      </w:pPr>
      <w:r>
        <w:rPr>
          <w:b/>
          <w:bCs/>
          <w:color w:val="2B2A26"/>
          <w:sz w:val="19"/>
          <w:szCs w:val="19"/>
        </w:rPr>
        <w:t xml:space="preserve">A: </w:t>
      </w:r>
      <w:r>
        <w:rPr>
          <w:color w:val="2B2A26"/>
          <w:sz w:val="19"/>
          <w:szCs w:val="19"/>
        </w:rPr>
        <w:t xml:space="preserve">It depends on what you want to know. My Wellness covers diet, weight, fitness, and detox for anyone who wants to understand how their body actually works day to day. Women's Health and Men's Health cover specific health risks — PCOS, fertility, hormones, bone health, and more. Ancestors In Me is about heritage, not health. Many people start with My Wellness or the relevant Health report and add Ancestry later — the Find My Test quiz above can also point you to the right one in under a minute.</w:t>
      </w:r>
    </w:p>
    <w:p>
      <w:pPr>
        <w:spacing w:after="40" w:before="160"/>
      </w:pPr>
      <w:r>
        <w:rPr>
          <w:b/>
          <w:bCs/>
          <w:color w:val="B08A3E"/>
          <w:sz w:val="20"/>
          <w:szCs w:val="20"/>
        </w:rPr>
        <w:t xml:space="preserve">Q: </w:t>
      </w:r>
      <w:r>
        <w:rPr>
          <w:b/>
          <w:bCs/>
          <w:color w:val="101F38"/>
          <w:sz w:val="20"/>
          <w:szCs w:val="20"/>
        </w:rPr>
        <w:t xml:space="preserve">Are these different tests, or one test that covers everything?</w:t>
      </w:r>
    </w:p>
    <w:p>
      <w:pPr>
        <w:spacing w:after="60"/>
      </w:pPr>
      <w:r>
        <w:rPr>
          <w:b/>
          <w:bCs/>
          <w:color w:val="2B2A26"/>
          <w:sz w:val="19"/>
          <w:szCs w:val="19"/>
        </w:rPr>
        <w:t xml:space="preserve">A: </w:t>
      </w:r>
      <w:r>
        <w:rPr>
          <w:color w:val="2B2A26"/>
          <w:sz w:val="19"/>
          <w:szCs w:val="19"/>
        </w:rPr>
        <w:t xml:space="preserve">Each product uses its own saliva sample and answers a different question — Wellness, Women's Health, Men's Health, and Ancestry are four separate reports. If you want more than one, you take a separate kit for each, though bundles like The Complete You combine several at once for better value.</w:t>
      </w:r>
    </w:p>
    <w:p>
      <w:pPr>
        <w:spacing w:after="40" w:before="160"/>
      </w:pPr>
      <w:r>
        <w:rPr>
          <w:b/>
          <w:bCs/>
          <w:color w:val="B08A3E"/>
          <w:sz w:val="20"/>
          <w:szCs w:val="20"/>
        </w:rPr>
        <w:t xml:space="preserve">Q: </w:t>
      </w:r>
      <w:r>
        <w:rPr>
          <w:b/>
          <w:bCs/>
          <w:color w:val="101F38"/>
          <w:sz w:val="20"/>
          <w:szCs w:val="20"/>
        </w:rPr>
        <w:t xml:space="preserve">Is this the same as an international ancestry test like AncestryDNA or 23andMe?</w:t>
      </w:r>
    </w:p>
    <w:p>
      <w:pPr>
        <w:spacing w:after="60"/>
      </w:pPr>
      <w:r>
        <w:rPr>
          <w:b/>
          <w:bCs/>
          <w:color w:val="2B2A26"/>
          <w:sz w:val="19"/>
          <w:szCs w:val="19"/>
        </w:rPr>
        <w:t xml:space="preserve">A: </w:t>
      </w:r>
      <w:r>
        <w:rPr>
          <w:color w:val="2B2A26"/>
          <w:sz w:val="19"/>
          <w:szCs w:val="19"/>
        </w:rPr>
        <w:t xml:space="preserve">No. KYG's Ancestors In Me is built and processed in India, at an NABL-certified lab, with reference population data relevant to South Asian ancestry — a region many international tests represent less precisely. It is not affiliated with AncestryDNA or 23andMe.</w:t>
      </w:r>
    </w:p>
    <w:p>
      <w:pPr>
        <w:spacing w:after="40" w:before="160"/>
      </w:pPr>
      <w:r>
        <w:rPr>
          <w:b/>
          <w:bCs/>
          <w:color w:val="B08A3E"/>
          <w:sz w:val="20"/>
          <w:szCs w:val="20"/>
        </w:rPr>
        <w:t xml:space="preserve">Q: </w:t>
      </w:r>
      <w:r>
        <w:rPr>
          <w:b/>
          <w:bCs/>
          <w:color w:val="101F38"/>
          <w:sz w:val="20"/>
          <w:szCs w:val="20"/>
        </w:rPr>
        <w:t xml:space="preserve">How is this different from a regular blood test at a lab?</w:t>
      </w:r>
    </w:p>
    <w:p>
      <w:pPr>
        <w:spacing w:after="60"/>
      </w:pPr>
      <w:r>
        <w:rPr>
          <w:b/>
          <w:bCs/>
          <w:color w:val="2B2A26"/>
          <w:sz w:val="19"/>
          <w:szCs w:val="19"/>
        </w:rPr>
        <w:t xml:space="preserve">A: </w:t>
      </w:r>
      <w:r>
        <w:rPr>
          <w:color w:val="2B2A26"/>
          <w:sz w:val="19"/>
          <w:szCs w:val="19"/>
        </w:rPr>
        <w:t xml:space="preserve">A blood test usually measures what's happening in your body right now — your current cholesterol, sugar, or hormone levels. A KYG genetic test reads your underlying genetic tendencies, which don't change over time, and explains the 'why' behind patterns a regular blood test can't. The two are complementary, not competing.</w:t>
      </w:r>
    </w:p>
    <w:p>
      <w:pPr>
        <w:spacing w:after="40" w:before="160"/>
      </w:pPr>
      <w:r>
        <w:rPr>
          <w:b/>
          <w:bCs/>
          <w:color w:val="B08A3E"/>
          <w:sz w:val="20"/>
          <w:szCs w:val="20"/>
        </w:rPr>
        <w:t xml:space="preserve">Q: </w:t>
      </w:r>
      <w:r>
        <w:rPr>
          <w:b/>
          <w:bCs/>
          <w:color w:val="101F38"/>
          <w:sz w:val="20"/>
          <w:szCs w:val="20"/>
        </w:rPr>
        <w:t xml:space="preserve">Is my genetic data safe?</w:t>
      </w:r>
    </w:p>
    <w:p>
      <w:pPr>
        <w:spacing w:after="60"/>
      </w:pPr>
      <w:r>
        <w:rPr>
          <w:b/>
          <w:bCs/>
          <w:color w:val="2B2A26"/>
          <w:sz w:val="19"/>
          <w:szCs w:val="19"/>
        </w:rPr>
        <w:t xml:space="preserve">A: </w:t>
      </w:r>
      <w:r>
        <w:rPr>
          <w:color w:val="2B2A26"/>
          <w:sz w:val="19"/>
          <w:szCs w:val="19"/>
        </w:rPr>
        <w:t xml:space="preserve">Yes. Your data is handled under ISO 27001:2013 and HIPAA/FDA-aligned privacy standards. KYG never sells or shares your genetic information, and your physical sample is destroyed after processing.</w:t>
      </w:r>
    </w:p>
    <w:p>
      <w:pPr>
        <w:spacing w:after="40" w:before="160"/>
      </w:pPr>
      <w:r>
        <w:rPr>
          <w:b/>
          <w:bCs/>
          <w:color w:val="B08A3E"/>
          <w:sz w:val="20"/>
          <w:szCs w:val="20"/>
        </w:rPr>
        <w:t xml:space="preserve">Q: </w:t>
      </w:r>
      <w:r>
        <w:rPr>
          <w:b/>
          <w:bCs/>
          <w:color w:val="101F38"/>
          <w:sz w:val="20"/>
          <w:szCs w:val="20"/>
        </w:rPr>
        <w:t xml:space="preserve">Can I order more than one test at a time?</w:t>
      </w:r>
    </w:p>
    <w:p>
      <w:pPr>
        <w:spacing w:after="60"/>
      </w:pPr>
      <w:r>
        <w:rPr>
          <w:b/>
          <w:bCs/>
          <w:color w:val="2B2A26"/>
          <w:sz w:val="19"/>
          <w:szCs w:val="19"/>
        </w:rPr>
        <w:t xml:space="preserve">A: </w:t>
      </w:r>
      <w:r>
        <w:rPr>
          <w:color w:val="2B2A26"/>
          <w:sz w:val="19"/>
          <w:szCs w:val="19"/>
        </w:rPr>
        <w:t xml:space="preserve">Yes. You can order any combination of My Wellness, Women's Health, Men's Health, and Ancestors In Me, either individually or as one of the combo bundles above.</w:t>
      </w:r>
    </w:p>
    <w:p>
      <w:pPr>
        <w:pBdr>
          <w:left w:val="single" w:color="1E6E62" w:sz="12" w:space="8"/>
        </w:pBdr>
        <w:spacing w:after="180" w:before="80"/>
        <w:ind w:left="360"/>
      </w:pPr>
      <w:r>
        <w:rPr>
          <w:b/>
          <w:bCs/>
          <w:i/>
          <w:iCs/>
          <w:color w:val="1E6E62"/>
          <w:sz w:val="18"/>
          <w:szCs w:val="18"/>
        </w:rPr>
        <w:t xml:space="preserve">AEO / GEO NOTE — </w:t>
      </w:r>
      <w:r>
        <w:rPr>
          <w:i/>
          <w:iCs/>
          <w:color w:val="6B6B66"/>
          <w:sz w:val="18"/>
          <w:szCs w:val="18"/>
        </w:rPr>
        <w:t xml:space="preserve">FAQ schema (JSON-LD) required for all six questions, same convention as every individual LP. These are written to catch brand-level and comparison searches ('KYG vs 23andMe', 'DNA test vs blood test India') that no single product LP is positioned to answer.</w:t>
      </w:r>
    </w:p>
    <w:p>
      <w:pPr>
        <w:pStyle w:val="Heading1"/>
        <w:pBdr>
          <w:bottom w:val="single" w:color="B08A3E" w:sz="6" w:space="6"/>
        </w:pBdr>
        <w:spacing w:after="200" w:before="480"/>
      </w:pPr>
      <w:r>
        <w:rPr>
          <w:b/>
          <w:bCs/>
          <w:color w:val="101F38"/>
          <w:sz w:val="30"/>
          <w:szCs w:val="30"/>
        </w:rPr>
        <w:t xml:space="preserve">SECTION 12 — FINAL CTA</w:t>
      </w:r>
    </w:p>
    <w:p>
      <w:pPr>
        <w:spacing w:after="100"/>
      </w:pPr>
      <w:r>
        <w:rPr>
          <w:b/>
          <w:bCs/>
          <w:color w:val="101F38"/>
          <w:sz w:val="26"/>
          <w:szCs w:val="26"/>
        </w:rPr>
        <w:t xml:space="preserve">Your body has been running on guesswork.
It's time to give it the right instructions.</w:t>
      </w:r>
    </w:p>
    <w:p>
      <w:pPr>
        <w:spacing w:after="130"/>
      </w:pPr>
      <w:r>
        <w:rPr>
          <w:b w:val="false"/>
          <w:bCs w:val="false"/>
          <w:i w:val="false"/>
          <w:iCs w:val="false"/>
          <w:color w:val="2B2A26"/>
          <w:sz w:val="20"/>
          <w:szCs w:val="20"/>
        </w:rPr>
        <w:t xml:space="preserve">Four ways to finally understand yourself. One saliva kit each. Results in 7 days.</w:t>
      </w:r>
    </w:p>
    <w:p>
      <w:pPr>
        <w:spacing w:after="130"/>
      </w:pPr>
      <w:r>
        <w:rPr>
          <w:b/>
          <w:bCs/>
          <w:i w:val="false"/>
          <w:iCs w:val="false"/>
          <w:color w:val="2B2A26"/>
          <w:sz w:val="20"/>
          <w:szCs w:val="20"/>
        </w:rPr>
        <w:t xml:space="preserve">GET MY WELLNESS REPORT →   |   EXPLORE WOMEN'S HEALTH →   |   EXPLORE MEN'S HEALTH →   |   DISCOVER MY ANCESTORS →</w:t>
      </w:r>
    </w:p>
    <w:p>
      <w:pPr>
        <w:spacing w:after="130"/>
      </w:pPr>
      <w:r>
        <w:rPr>
          <w:b w:val="false"/>
          <w:bCs w:val="false"/>
          <w:i/>
          <w:iCs/>
          <w:color w:val="2B2A26"/>
          <w:sz w:val="20"/>
          <w:szCs w:val="20"/>
        </w:rPr>
        <w:t xml:space="preserve">Certified lab · 99%+ accuracy · Your data stays private · Free GENEous Care session with every report</w:t>
      </w:r>
    </w:p>
    <w:p>
      <w:pPr>
        <w:pBdr>
          <w:left w:val="single" w:color="B08A3E" w:sz="12" w:space="8"/>
        </w:pBdr>
        <w:spacing w:after="180" w:before="80"/>
        <w:ind w:left="360"/>
      </w:pPr>
      <w:r>
        <w:rPr>
          <w:b/>
          <w:bCs/>
          <w:i/>
          <w:iCs/>
          <w:color w:val="B08A3E"/>
          <w:sz w:val="18"/>
          <w:szCs w:val="18"/>
        </w:rPr>
        <w:t xml:space="preserve">DESIGN NOTE — </w:t>
      </w:r>
      <w:r>
        <w:rPr>
          <w:i/>
          <w:iCs/>
          <w:color w:val="6B6B66"/>
          <w:sz w:val="18"/>
          <w:szCs w:val="18"/>
        </w:rPr>
        <w:t xml:space="preserve">Mirrors the hero's four-anchor structure so the page opens and closes on the same idea: there isn't one KYG product, there are four, and every visitor should leave knowing that.</w:t>
      </w:r>
    </w:p>
    <w:p>
      <w:pPr>
        <w:pBdr>
          <w:bottom w:val="single" w:color="D9CBA3" w:sz="4" w:space="1"/>
        </w:pBdr>
        <w:spacing w:after="200" w:before="200"/>
      </w:pPr>
    </w:p>
    <w:p>
      <w:pPr>
        <w:spacing w:after="110" w:before="300"/>
      </w:pPr>
      <w:r>
        <w:rPr>
          <w:b/>
          <w:bCs/>
          <w:color w:val="B08A3E"/>
          <w:sz w:val="17"/>
          <w:szCs w:val="17"/>
        </w:rPr>
        <w:t xml:space="preserve"/>
      </w:r>
      <w:r>
        <w:rPr>
          <w:b/>
          <w:bCs/>
          <w:color w:val="101F38"/>
          <w:sz w:val="23"/>
          <w:szCs w:val="23"/>
        </w:rPr>
        <w:t xml:space="preserve">CTA Placement Map — For Developer and Designer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F38" w:val="clear"/>
            <w:tcMar>
              <w:top w:type="dxa" w:w="80"/>
              <w:left w:type="dxa" w:w="100"/>
              <w:bottom w:type="dxa" w:w="80"/>
              <w:right w:type="dxa" w:w="100"/>
            </w:tcMar>
          </w:tcPr>
          <w:p>
            <w:r>
              <w:rPr>
                <w:b/>
                <w:bCs/>
                <w:color w:val="FFFFFF"/>
                <w:sz w:val="18"/>
                <w:szCs w:val="18"/>
              </w:rPr>
              <w:t xml:space="preserve">#</w:t>
            </w:r>
          </w:p>
        </w:tc>
        <w:tc>
          <w:tcPr>
            <w:shd w:fill="101F38" w:val="clear"/>
            <w:tcMar>
              <w:top w:type="dxa" w:w="80"/>
              <w:left w:type="dxa" w:w="100"/>
              <w:bottom w:type="dxa" w:w="80"/>
              <w:right w:type="dxa" w:w="100"/>
            </w:tcMar>
          </w:tcPr>
          <w:p>
            <w:r>
              <w:rPr>
                <w:b/>
                <w:bCs/>
                <w:color w:val="FFFFFF"/>
                <w:sz w:val="18"/>
                <w:szCs w:val="18"/>
              </w:rPr>
              <w:t xml:space="preserve">Where</w:t>
            </w:r>
          </w:p>
        </w:tc>
        <w:tc>
          <w:tcPr>
            <w:shd w:fill="101F38" w:val="clear"/>
            <w:tcMar>
              <w:top w:type="dxa" w:w="80"/>
              <w:left w:type="dxa" w:w="100"/>
              <w:bottom w:type="dxa" w:w="80"/>
              <w:right w:type="dxa" w:w="100"/>
            </w:tcMar>
          </w:tcPr>
          <w:p>
            <w:r>
              <w:rPr>
                <w:b/>
                <w:bCs/>
                <w:color w:val="FFFFFF"/>
                <w:sz w:val="18"/>
                <w:szCs w:val="18"/>
              </w:rPr>
              <w:t xml:space="preserve">Button text</w:t>
            </w:r>
          </w:p>
        </w:tc>
        <w:tc>
          <w:tcPr>
            <w:shd w:fill="101F38" w:val="clear"/>
            <w:tcMar>
              <w:top w:type="dxa" w:w="80"/>
              <w:left w:type="dxa" w:w="100"/>
              <w:bottom w:type="dxa" w:w="80"/>
              <w:right w:type="dxa" w:w="100"/>
            </w:tcMar>
          </w:tcPr>
          <w:p>
            <w:r>
              <w:rPr>
                <w:b/>
                <w:bCs/>
                <w:color w:val="FFFFFF"/>
                <w:sz w:val="18"/>
                <w:szCs w:val="18"/>
              </w:rPr>
              <w:t xml:space="preserve">Why this text here</w:t>
            </w:r>
          </w:p>
        </w:tc>
      </w:tr>
      <w:tr>
        <w:tc>
          <w:tcPr>
            <w:tcW w:type="pct" w:w="8%"/>
            <w:tcMar>
              <w:top w:type="dxa" w:w="100"/>
              <w:left w:type="dxa" w:w="100"/>
              <w:bottom w:type="dxa" w:w="100"/>
              <w:right w:type="dxa" w:w="100"/>
            </w:tcMar>
          </w:tcPr>
          <w:p>
            <w:r>
              <w:rPr>
                <w:b/>
                <w:bCs/>
                <w:color w:val="101F38"/>
                <w:sz w:val="18"/>
                <w:szCs w:val="18"/>
              </w:rPr>
              <w:t xml:space="preserve">1</w:t>
            </w:r>
          </w:p>
        </w:tc>
        <w:tc>
          <w:tcPr>
            <w:tcW w:type="pct" w:w="26%"/>
            <w:tcMar>
              <w:top w:type="dxa" w:w="100"/>
              <w:left w:type="dxa" w:w="100"/>
              <w:bottom w:type="dxa" w:w="100"/>
              <w:right w:type="dxa" w:w="100"/>
            </w:tcMar>
          </w:tcPr>
          <w:p>
            <w:r>
              <w:rPr>
                <w:color w:val="2B2A26"/>
                <w:sz w:val="18"/>
                <w:szCs w:val="18"/>
              </w:rPr>
              <w:t xml:space="preserve">Hero section</w:t>
            </w:r>
          </w:p>
        </w:tc>
        <w:tc>
          <w:tcPr>
            <w:tcW w:type="pct" w:w="28%"/>
            <w:tcMar>
              <w:top w:type="dxa" w:w="100"/>
              <w:left w:type="dxa" w:w="100"/>
              <w:bottom w:type="dxa" w:w="100"/>
              <w:right w:type="dxa" w:w="100"/>
            </w:tcMar>
          </w:tcPr>
          <w:p>
            <w:r>
              <w:rPr>
                <w:b/>
                <w:bCs/>
                <w:color w:val="B08A3E"/>
                <w:sz w:val="18"/>
                <w:szCs w:val="18"/>
              </w:rPr>
              <w:t xml:space="preserve">Find My Test →</w:t>
            </w:r>
          </w:p>
        </w:tc>
        <w:tc>
          <w:tcPr>
            <w:tcW w:type="pct" w:w="38%"/>
            <w:tcMar>
              <w:top w:type="dxa" w:w="100"/>
              <w:left w:type="dxa" w:w="100"/>
              <w:bottom w:type="dxa" w:w="100"/>
              <w:right w:type="dxa" w:w="100"/>
            </w:tcMar>
          </w:tcPr>
          <w:p>
            <w:r>
              <w:rPr>
                <w:i/>
                <w:iCs/>
                <w:color w:val="6B6B66"/>
                <w:sz w:val="17"/>
                <w:szCs w:val="17"/>
              </w:rPr>
              <w:t xml:space="preserve">First touch. Multi-product homepage — route by need, not a single generic ask.</w:t>
            </w:r>
          </w:p>
        </w:tc>
      </w:tr>
      <w:tr>
        <w:tc>
          <w:tcPr>
            <w:tcW w:type="pct" w:w="8%"/>
            <w:tcMar>
              <w:top w:type="dxa" w:w="100"/>
              <w:left w:type="dxa" w:w="100"/>
              <w:bottom w:type="dxa" w:w="100"/>
              <w:right w:type="dxa" w:w="100"/>
            </w:tcMar>
          </w:tcPr>
          <w:p>
            <w:r>
              <w:rPr>
                <w:b/>
                <w:bCs/>
                <w:color w:val="101F38"/>
                <w:sz w:val="18"/>
                <w:szCs w:val="18"/>
              </w:rPr>
              <w:t xml:space="preserve">2</w:t>
            </w:r>
          </w:p>
        </w:tc>
        <w:tc>
          <w:tcPr>
            <w:tcW w:type="pct" w:w="26%"/>
            <w:tcMar>
              <w:top w:type="dxa" w:w="100"/>
              <w:left w:type="dxa" w:w="100"/>
              <w:bottom w:type="dxa" w:w="100"/>
              <w:right w:type="dxa" w:w="100"/>
            </w:tcMar>
          </w:tcPr>
          <w:p>
            <w:r>
              <w:rPr>
                <w:color w:val="2B2A26"/>
                <w:sz w:val="18"/>
                <w:szCs w:val="18"/>
              </w:rPr>
              <w:t xml:space="preserve">Choose Your Test cards</w:t>
            </w:r>
          </w:p>
        </w:tc>
        <w:tc>
          <w:tcPr>
            <w:tcW w:type="pct" w:w="28%"/>
            <w:tcMar>
              <w:top w:type="dxa" w:w="100"/>
              <w:left w:type="dxa" w:w="100"/>
              <w:bottom w:type="dxa" w:w="100"/>
              <w:right w:type="dxa" w:w="100"/>
            </w:tcMar>
          </w:tcPr>
          <w:p>
            <w:r>
              <w:rPr>
                <w:b/>
                <w:bCs/>
                <w:color w:val="B08A3E"/>
                <w:sz w:val="18"/>
                <w:szCs w:val="18"/>
              </w:rPr>
              <w:t xml:space="preserve">4× Explore [Product] →</w:t>
            </w:r>
          </w:p>
        </w:tc>
        <w:tc>
          <w:tcPr>
            <w:tcW w:type="pct" w:w="38%"/>
            <w:tcMar>
              <w:top w:type="dxa" w:w="100"/>
              <w:left w:type="dxa" w:w="100"/>
              <w:bottom w:type="dxa" w:w="100"/>
              <w:right w:type="dxa" w:w="100"/>
            </w:tcMar>
          </w:tcPr>
          <w:p>
            <w:r>
              <w:rPr>
                <w:i/>
                <w:iCs/>
                <w:color w:val="6B6B66"/>
                <w:sz w:val="17"/>
                <w:szCs w:val="17"/>
              </w:rPr>
              <w:t xml:space="preserve">Reader has picked a lane. Send them to that product's dedicated, fully-built LP.</w:t>
            </w:r>
          </w:p>
        </w:tc>
      </w:tr>
      <w:tr>
        <w:tc>
          <w:tcPr>
            <w:tcW w:type="pct" w:w="8%"/>
            <w:tcMar>
              <w:top w:type="dxa" w:w="100"/>
              <w:left w:type="dxa" w:w="100"/>
              <w:bottom w:type="dxa" w:w="100"/>
              <w:right w:type="dxa" w:w="100"/>
            </w:tcMar>
          </w:tcPr>
          <w:p>
            <w:r>
              <w:rPr>
                <w:b/>
                <w:bCs/>
                <w:color w:val="101F38"/>
                <w:sz w:val="18"/>
                <w:szCs w:val="18"/>
              </w:rPr>
              <w:t xml:space="preserve">3</w:t>
            </w:r>
          </w:p>
        </w:tc>
        <w:tc>
          <w:tcPr>
            <w:tcW w:type="pct" w:w="26%"/>
            <w:tcMar>
              <w:top w:type="dxa" w:w="100"/>
              <w:left w:type="dxa" w:w="100"/>
              <w:bottom w:type="dxa" w:w="100"/>
              <w:right w:type="dxa" w:w="100"/>
            </w:tcMar>
          </w:tcPr>
          <w:p>
            <w:r>
              <w:rPr>
                <w:color w:val="2B2A26"/>
                <w:sz w:val="18"/>
                <w:szCs w:val="18"/>
              </w:rPr>
              <w:t xml:space="preserve">After the stat wall</w:t>
            </w:r>
          </w:p>
        </w:tc>
        <w:tc>
          <w:tcPr>
            <w:tcW w:type="pct" w:w="28%"/>
            <w:tcMar>
              <w:top w:type="dxa" w:w="100"/>
              <w:left w:type="dxa" w:w="100"/>
              <w:bottom w:type="dxa" w:w="100"/>
              <w:right w:type="dxa" w:w="100"/>
            </w:tcMar>
          </w:tcPr>
          <w:p>
            <w:r>
              <w:rPr>
                <w:b/>
                <w:bCs/>
                <w:color w:val="B08A3E"/>
                <w:sz w:val="18"/>
                <w:szCs w:val="18"/>
              </w:rPr>
              <w:t xml:space="preserve">4× product-specific CTA</w:t>
            </w:r>
          </w:p>
        </w:tc>
        <w:tc>
          <w:tcPr>
            <w:tcW w:type="pct" w:w="38%"/>
            <w:tcMar>
              <w:top w:type="dxa" w:w="100"/>
              <w:left w:type="dxa" w:w="100"/>
              <w:bottom w:type="dxa" w:w="100"/>
              <w:right w:type="dxa" w:w="100"/>
            </w:tcMar>
          </w:tcPr>
          <w:p>
            <w:r>
              <w:rPr>
                <w:i/>
                <w:iCs/>
                <w:color w:val="6B6B66"/>
                <w:sz w:val="17"/>
                <w:szCs w:val="17"/>
              </w:rPr>
              <w:t xml:space="preserve">Peak proof moment, per product — highest click rate, don't generalise it.</w:t>
            </w:r>
          </w:p>
        </w:tc>
      </w:tr>
      <w:tr>
        <w:tc>
          <w:tcPr>
            <w:tcW w:type="pct" w:w="8%"/>
            <w:tcMar>
              <w:top w:type="dxa" w:w="100"/>
              <w:left w:type="dxa" w:w="100"/>
              <w:bottom w:type="dxa" w:w="100"/>
              <w:right w:type="dxa" w:w="100"/>
            </w:tcMar>
          </w:tcPr>
          <w:p>
            <w:r>
              <w:rPr>
                <w:b/>
                <w:bCs/>
                <w:color w:val="101F38"/>
                <w:sz w:val="18"/>
                <w:szCs w:val="18"/>
              </w:rPr>
              <w:t xml:space="preserve">4</w:t>
            </w:r>
          </w:p>
        </w:tc>
        <w:tc>
          <w:tcPr>
            <w:tcW w:type="pct" w:w="26%"/>
            <w:tcMar>
              <w:top w:type="dxa" w:w="100"/>
              <w:left w:type="dxa" w:w="100"/>
              <w:bottom w:type="dxa" w:w="100"/>
              <w:right w:type="dxa" w:w="100"/>
            </w:tcMar>
          </w:tcPr>
          <w:p>
            <w:r>
              <w:rPr>
                <w:color w:val="2B2A26"/>
                <w:sz w:val="18"/>
                <w:szCs w:val="18"/>
              </w:rPr>
              <w:t xml:space="preserve">After How It Works</w:t>
            </w:r>
          </w:p>
        </w:tc>
        <w:tc>
          <w:tcPr>
            <w:tcW w:type="pct" w:w="28%"/>
            <w:tcMar>
              <w:top w:type="dxa" w:w="100"/>
              <w:left w:type="dxa" w:w="100"/>
              <w:bottom w:type="dxa" w:w="100"/>
              <w:right w:type="dxa" w:w="100"/>
            </w:tcMar>
          </w:tcPr>
          <w:p>
            <w:r>
              <w:rPr>
                <w:b/>
                <w:bCs/>
                <w:color w:val="B08A3E"/>
                <w:sz w:val="18"/>
                <w:szCs w:val="18"/>
              </w:rPr>
              <w:t xml:space="preserve">Order My Kit →</w:t>
            </w:r>
          </w:p>
        </w:tc>
        <w:tc>
          <w:tcPr>
            <w:tcW w:type="pct" w:w="38%"/>
            <w:tcMar>
              <w:top w:type="dxa" w:w="100"/>
              <w:left w:type="dxa" w:w="100"/>
              <w:bottom w:type="dxa" w:w="100"/>
              <w:right w:type="dxa" w:w="100"/>
            </w:tcMar>
          </w:tcPr>
          <w:p>
            <w:r>
              <w:rPr>
                <w:i/>
                <w:iCs/>
                <w:color w:val="6B6B66"/>
                <w:sz w:val="17"/>
                <w:szCs w:val="17"/>
              </w:rPr>
              <w:t xml:space="preserve">Friction is gone, process is clear. Generic is fine here since intent is already set.</w:t>
            </w:r>
          </w:p>
        </w:tc>
      </w:tr>
      <w:tr>
        <w:tc>
          <w:tcPr>
            <w:tcW w:type="pct" w:w="8%"/>
            <w:tcMar>
              <w:top w:type="dxa" w:w="100"/>
              <w:left w:type="dxa" w:w="100"/>
              <w:bottom w:type="dxa" w:w="100"/>
              <w:right w:type="dxa" w:w="100"/>
            </w:tcMar>
          </w:tcPr>
          <w:p>
            <w:r>
              <w:rPr>
                <w:b/>
                <w:bCs/>
                <w:color w:val="101F38"/>
                <w:sz w:val="18"/>
                <w:szCs w:val="18"/>
              </w:rPr>
              <w:t xml:space="preserve">5</w:t>
            </w:r>
          </w:p>
        </w:tc>
        <w:tc>
          <w:tcPr>
            <w:tcW w:type="pct" w:w="26%"/>
            <w:tcMar>
              <w:top w:type="dxa" w:w="100"/>
              <w:left w:type="dxa" w:w="100"/>
              <w:bottom w:type="dxa" w:w="100"/>
              <w:right w:type="dxa" w:w="100"/>
            </w:tcMar>
          </w:tcPr>
          <w:p>
            <w:r>
              <w:rPr>
                <w:color w:val="2B2A26"/>
                <w:sz w:val="18"/>
                <w:szCs w:val="18"/>
              </w:rPr>
              <w:t xml:space="preserve">Bottom of page</w:t>
            </w:r>
          </w:p>
        </w:tc>
        <w:tc>
          <w:tcPr>
            <w:tcW w:type="pct" w:w="28%"/>
            <w:tcMar>
              <w:top w:type="dxa" w:w="100"/>
              <w:left w:type="dxa" w:w="100"/>
              <w:bottom w:type="dxa" w:w="100"/>
              <w:right w:type="dxa" w:w="100"/>
            </w:tcMar>
          </w:tcPr>
          <w:p>
            <w:r>
              <w:rPr>
                <w:b/>
                <w:bCs/>
                <w:color w:val="B08A3E"/>
                <w:sz w:val="18"/>
                <w:szCs w:val="18"/>
              </w:rPr>
              <w:t xml:space="preserve">4× product-specific CTA</w:t>
            </w:r>
          </w:p>
        </w:tc>
        <w:tc>
          <w:tcPr>
            <w:tcW w:type="pct" w:w="38%"/>
            <w:tcMar>
              <w:top w:type="dxa" w:w="100"/>
              <w:left w:type="dxa" w:w="100"/>
              <w:bottom w:type="dxa" w:w="100"/>
              <w:right w:type="dxa" w:w="100"/>
            </w:tcMar>
          </w:tcPr>
          <w:p>
            <w:r>
              <w:rPr>
                <w:i/>
                <w:iCs/>
                <w:color w:val="6B6B66"/>
                <w:sz w:val="17"/>
                <w:szCs w:val="17"/>
              </w:rPr>
              <w:t xml:space="preserve">Confident final close. Mirrors the hero so the page opens and closes consistently.</w:t>
            </w:r>
          </w:p>
        </w:tc>
      </w:tr>
    </w:tbl>
    <w:p/>
    <w:p>
      <w:pPr>
        <w:pBdr>
          <w:left w:val="single" w:color="B5432A" w:sz="12" w:space="8"/>
        </w:pBdr>
        <w:spacing w:after="180" w:before="80"/>
        <w:ind w:left="360"/>
      </w:pPr>
      <w:r>
        <w:rPr>
          <w:b/>
          <w:bCs/>
          <w:i/>
          <w:iCs/>
          <w:color w:val="B5432A"/>
          <w:sz w:val="18"/>
          <w:szCs w:val="18"/>
        </w:rPr>
        <w:t xml:space="preserve">NEEDS CLIENT CONFIRMATION — </w:t>
      </w:r>
      <w:r>
        <w:rPr>
          <w:i/>
          <w:iCs/>
          <w:color w:val="6B6B66"/>
          <w:sz w:val="18"/>
          <w:szCs w:val="18"/>
        </w:rPr>
        <w:t xml:space="preserve">Price must be visible at or near every CTA button — same rule stated on all four individual LPs. This applies here too and is the second-highest-priority fix after the nav/product-parity issue.</w:t>
      </w:r>
    </w:p>
    <w:p>
      <w:pPr>
        <w:pBdr>
          <w:bottom w:val="single" w:color="D9CBA3" w:sz="4" w:space="1"/>
        </w:pBdr>
        <w:spacing w:after="200" w:before="200"/>
      </w:pPr>
    </w:p>
    <w:p>
      <w:pPr>
        <w:spacing w:after="110" w:before="300"/>
      </w:pPr>
      <w:r>
        <w:rPr>
          <w:b/>
          <w:bCs/>
          <w:color w:val="B08A3E"/>
          <w:sz w:val="17"/>
          <w:szCs w:val="17"/>
        </w:rPr>
        <w:t xml:space="preserve"/>
      </w:r>
      <w:r>
        <w:rPr>
          <w:b/>
          <w:bCs/>
          <w:color w:val="101F38"/>
          <w:sz w:val="23"/>
          <w:szCs w:val="23"/>
        </w:rPr>
        <w:t xml:space="preserve">Summary of open items before this can go to build</w:t>
      </w:r>
    </w:p>
    <w:p>
      <w:pPr>
        <w:pStyle w:val="ListParagraph"/>
        <w:numPr>
          <w:ilvl w:val="0"/>
          <w:numId w:val="1"/>
        </w:numPr>
        <w:spacing w:after="40"/>
      </w:pPr>
      <w:r>
        <w:rPr>
          <w:color w:val="2B2A26"/>
          <w:sz w:val="19"/>
          <w:szCs w:val="19"/>
        </w:rPr>
        <w:t xml:space="preserve">Final pricing for all four products and all three bundles — currently 'Rs X,XXX' placeholder everywhere, consistent with the individual LPs.</w:t>
      </w:r>
    </w:p>
    <w:p>
      <w:pPr>
        <w:pStyle w:val="ListParagraph"/>
        <w:numPr>
          <w:ilvl w:val="0"/>
          <w:numId w:val="1"/>
        </w:numPr>
        <w:spacing w:after="40"/>
      </w:pPr>
      <w:r>
        <w:rPr>
          <w:color w:val="2B2A26"/>
          <w:sz w:val="19"/>
          <w:szCs w:val="19"/>
        </w:rPr>
        <w:t xml:space="preserve">Confirm whether a 'Find My Test' quiz is buildable for this release, or default the hero CTA to 'Explore All Tests →'.</w:t>
      </w:r>
    </w:p>
    <w:p>
      <w:pPr>
        <w:pStyle w:val="ListParagraph"/>
        <w:numPr>
          <w:ilvl w:val="0"/>
          <w:numId w:val="1"/>
        </w:numPr>
        <w:spacing w:after="40"/>
      </w:pPr>
      <w:r>
        <w:rPr>
          <w:color w:val="2B2A26"/>
          <w:sz w:val="19"/>
          <w:szCs w:val="19"/>
        </w:rPr>
        <w:t xml:space="preserve">Bundle pages need to exist and be linked — currently '#' on the live site.</w:t>
      </w:r>
    </w:p>
    <w:p>
      <w:pPr>
        <w:pStyle w:val="ListParagraph"/>
        <w:numPr>
          <w:ilvl w:val="0"/>
          <w:numId w:val="1"/>
        </w:numPr>
        <w:spacing w:after="40"/>
      </w:pPr>
      <w:r>
        <w:rPr>
          <w:color w:val="2B2A26"/>
          <w:sz w:val="19"/>
          <w:szCs w:val="19"/>
        </w:rPr>
        <w:t xml:space="preserve">Hold the Health Decoded section off the homepage until real blog posts are published.</w:t>
      </w:r>
    </w:p>
    <w:p>
      <w:pPr>
        <w:pStyle w:val="ListParagraph"/>
        <w:numPr>
          <w:ilvl w:val="0"/>
          <w:numId w:val="1"/>
        </w:numPr>
        <w:spacing w:after="40"/>
      </w:pPr>
      <w:r>
        <w:rPr>
          <w:color w:val="2B2A26"/>
          <w:sz w:val="19"/>
          <w:szCs w:val="19"/>
        </w:rPr>
        <w:t xml:space="preserve">KYG Senior Care needs its own landing page brief (same format as the other four) before it earns a homepage section.</w:t>
      </w:r>
    </w:p>
    <w:p>
      <w:pPr>
        <w:pStyle w:val="ListParagraph"/>
        <w:numPr>
          <w:ilvl w:val="0"/>
          <w:numId w:val="1"/>
        </w:numPr>
        <w:spacing w:after="40"/>
      </w:pPr>
      <w:r>
        <w:rPr>
          <w:color w:val="2B2A26"/>
          <w:sz w:val="19"/>
          <w:szCs w:val="19"/>
        </w:rPr>
        <w:t xml:space="preserve">FAQ schema (JSON-LD) implementation for the six new homepage FAQs.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2026-07-02T12:03:38.919Z</dcterms:created>
  <dcterms:modified xsi:type="dcterms:W3CDTF">2026-07-02T12:03:38.938Z</dcterms:modified>
</cp:coreProperties>
</file>

<file path=docProps/custom.xml><?xml version="1.0" encoding="utf-8"?>
<Properties xmlns="http://schemas.openxmlformats.org/officeDocument/2006/custom-properties" xmlns:vt="http://schemas.openxmlformats.org/officeDocument/2006/docPropsVTypes"/>
</file>