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Calibri" w:cs="Calibri" w:eastAsia="Calibri" w:hAnsi="Calibri"/>
          <w:b/>
          <w:bCs/>
          <w:color w:val="C9A227"/>
          <w:sz w:val="24"/>
          <w:szCs w:val="24"/>
        </w:rPr>
        <w:t xml:space="preserve">BEST FACE FORWARD CONSULTANTS, LLC</w:t>
      </w:r>
    </w:p>
    <w:p>
      <w:pPr>
        <w:spacing w:after="400"/>
        <w:jc w:val="center"/>
      </w:pPr>
      <w:r>
        <w:rPr>
          <w:rFonts w:ascii="Calibri" w:cs="Calibri" w:eastAsia="Calibri" w:hAnsi="Calibri"/>
          <w:color w:val="0F2A1E"/>
          <w:sz w:val="20"/>
          <w:szCs w:val="20"/>
        </w:rPr>
        <w:t xml:space="preserve">GG AI Concierge — Technology, Automation &amp; AI Support</w:t>
      </w:r>
    </w:p>
    <w:p>
      <w:pPr>
        <w:spacing w:after="200"/>
        <w:jc w:val="center"/>
      </w:pPr>
      <w:r>
        <w:rPr>
          <w:rFonts w:ascii="Calibri" w:cs="Calibri" w:eastAsia="Calibri" w:hAnsi="Calibri"/>
          <w:b/>
          <w:bCs/>
          <w:color w:val="1B4332"/>
          <w:sz w:val="48"/>
          <w:szCs w:val="48"/>
        </w:rPr>
        <w:t xml:space="preserve">GG AI CONCIERGE™</w:t>
      </w:r>
    </w:p>
    <w:p>
      <w:pPr>
        <w:spacing w:after="300"/>
        <w:jc w:val="center"/>
      </w:pPr>
      <w:r>
        <w:rPr>
          <w:rFonts w:ascii="Calibri" w:cs="Calibri" w:eastAsia="Calibri" w:hAnsi="Calibri"/>
          <w:b/>
          <w:bCs/>
          <w:color w:val="E85D8F"/>
          <w:sz w:val="26"/>
          <w:szCs w:val="26"/>
        </w:rPr>
        <w:t xml:space="preserve">Technical Specification &amp; System Integration Document</w:t>
      </w:r>
    </w:p>
    <w:p>
      <w:pPr>
        <w:spacing w:after="100"/>
        <w:jc w:val="center"/>
      </w:pPr>
      <w:r>
        <w:rPr>
          <w:rFonts w:ascii="Calibri" w:cs="Calibri" w:eastAsia="Calibri" w:hAnsi="Calibri"/>
          <w:i/>
          <w:iCs/>
          <w:color w:val="999999"/>
          <w:sz w:val="20"/>
          <w:szCs w:val="20"/>
        </w:rPr>
        <w:t xml:space="preserve">“Powered by GG. Guided by Gigi.”</w:t>
      </w:r>
    </w:p>
    <w:p>
      <w:pPr>
        <w:spacing w:after="5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4"/>
              <w:left w:val="single" w:color="C9A227" w:sz="24"/>
              <w:bottom w:val="single" w:color="C9A227" w:sz="4"/>
              <w:right w:val="single" w:color="C9A227" w:sz="4"/>
            </w:tcBorders>
            <w:shd w:fill="FDF6E3" w:val="clear"/>
            <w:tcMar>
              <w:top w:type="dxa" w:w="140"/>
              <w:left w:type="dxa" w:w="200"/>
              <w:bottom w:type="dxa" w:w="140"/>
              <w:right w:type="dxa" w:w="200"/>
            </w:tcMar>
          </w:tcPr>
          <w:p>
            <w:pPr>
              <w:spacing w:after="60"/>
            </w:pPr>
            <w:r>
              <w:rPr>
                <w:rFonts w:ascii="Calibri" w:cs="Calibri" w:eastAsia="Calibri" w:hAnsi="Calibri"/>
                <w:b/>
                <w:bCs/>
                <w:color w:val="0F2A1E"/>
                <w:sz w:val="21"/>
                <w:szCs w:val="21"/>
              </w:rPr>
              <w:t xml:space="preserve">What This Document Is</w:t>
            </w:r>
          </w:p>
          <w:p>
            <w:r>
              <w:rPr>
                <w:rFonts w:ascii="Calibri" w:cs="Calibri" w:eastAsia="Calibri" w:hAnsi="Calibri"/>
                <w:color w:val="222222"/>
                <w:sz w:val="20"/>
                <w:szCs w:val="20"/>
              </w:rPr>
              <w:t xml:space="preserve">This is the working engineering specification for GG AI Concierge™ — the shared AI service behind Gigi, built once and embedded across Expense IQ™, Insurance Solutions™, Financial Solutions™, Logistics™, and G&amp;G Software Solutions™. It defines Gigi's persona, her due-diligence and escalation logic, the integration pattern each host platform uses to embed her, and the Financial Language Academy she instructs. This document is the single source of truth for Gigi's behavior — the other five BFF platform specs reference her from here rather than each defining their own version.</w:t>
            </w:r>
          </w:p>
        </w:tc>
      </w:tr>
    </w:tbl>
    <w:p>
      <w:pPr>
        <w:spacing w:after="300"/>
      </w:pPr>
    </w:p>
    <w:p>
      <w:pPr>
        <w:spacing w:after="40"/>
        <w:jc w:val="center"/>
      </w:pPr>
      <w:r>
        <w:rPr>
          <w:rFonts w:ascii="Calibri" w:cs="Calibri" w:eastAsia="Calibri" w:hAnsi="Calibri"/>
          <w:color w:val="222222"/>
          <w:sz w:val="20"/>
          <w:szCs w:val="20"/>
        </w:rPr>
        <w:t xml:space="preserve">Prepared for: Best Face Forward Consultants, LLC</w:t>
      </w:r>
    </w:p>
    <w:p>
      <w:pPr>
        <w:spacing w:after="40"/>
        <w:jc w:val="center"/>
      </w:pPr>
      <w:r>
        <w:rPr>
          <w:rFonts w:ascii="Calibri" w:cs="Calibri" w:eastAsia="Calibri" w:hAnsi="Calibri"/>
          <w:color w:val="222222"/>
          <w:sz w:val="20"/>
          <w:szCs w:val="20"/>
        </w:rPr>
        <w:t xml:space="preserve">Prepared by: Jameal Clark, Founder &amp; CEO</w:t>
      </w:r>
    </w:p>
    <w:p>
      <w:pPr>
        <w:jc w:val="center"/>
      </w:pPr>
      <w:r>
        <w:rPr>
          <w:rFonts w:ascii="Calibri" w:cs="Calibri" w:eastAsia="Calibri" w:hAnsi="Calibri"/>
          <w:color w:val="999999"/>
          <w:sz w:val="20"/>
          <w:szCs w:val="20"/>
        </w:rPr>
        <w:t xml:space="preserve">Version 1.0 — July 2026</w:t>
      </w:r>
    </w:p>
    <w:p>
      <w:r>
        <w:br w:type="page"/>
      </w:r>
    </w:p>
    <w:p>
      <w:pPr>
        <w:pStyle w:val="Heading1"/>
        <w:pBdr>
          <w:bottom w:val="single" w:color="C9A227" w:sz="8" w:space="4"/>
        </w:pBdr>
        <w:spacing w:after="200" w:before="480"/>
      </w:pPr>
      <w:r>
        <w:rPr>
          <w:rFonts w:ascii="Calibri" w:cs="Calibri" w:eastAsia="Calibri" w:hAnsi="Calibri"/>
          <w:b/>
          <w:bCs/>
          <w:color w:val="1B4332"/>
          <w:sz w:val="32"/>
          <w:szCs w:val="32"/>
        </w:rPr>
        <w:t xml:space="preserve">1. Who Gigi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Field</w:t>
            </w:r>
          </w:p>
        </w:tc>
        <w:tc>
          <w:tcPr>
            <w:tcW w:type="dxa" w:w="696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Value</w:t>
            </w:r>
          </w:p>
        </w:tc>
      </w:tr>
      <w:tr>
        <w:tc>
          <w:tcPr>
            <w:tcW w:type="dxa" w:w="24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Official Title</w:t>
            </w:r>
          </w:p>
        </w:tc>
        <w:tc>
          <w:tcPr>
            <w:tcW w:type="dxa" w:w="6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AI Due Diligence Concierge</w:t>
            </w:r>
          </w:p>
        </w:tc>
      </w:tr>
      <w:tr>
        <w:tc>
          <w:tcPr>
            <w:tcW w:type="dxa" w:w="24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Employee ID</w:t>
            </w:r>
          </w:p>
        </w:tc>
        <w:tc>
          <w:tcPr>
            <w:tcW w:type="dxa" w:w="69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GG-001</w:t>
            </w:r>
          </w:p>
        </w:tc>
      </w:tr>
      <w:tr>
        <w:tc>
          <w:tcPr>
            <w:tcW w:type="dxa" w:w="24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Department</w:t>
            </w:r>
          </w:p>
        </w:tc>
        <w:tc>
          <w:tcPr>
            <w:tcW w:type="dxa" w:w="6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Client Success &amp; AI Innovation</w:t>
            </w:r>
          </w:p>
        </w:tc>
      </w:tr>
      <w:tr>
        <w:tc>
          <w:tcPr>
            <w:tcW w:type="dxa" w:w="24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Reports To</w:t>
            </w:r>
          </w:p>
        </w:tc>
        <w:tc>
          <w:tcPr>
            <w:tcW w:type="dxa" w:w="69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Jameal Clark, Founder &amp; CEO</w:t>
            </w:r>
          </w:p>
        </w:tc>
      </w:tr>
      <w:tr>
        <w:tc>
          <w:tcPr>
            <w:tcW w:type="dxa" w:w="24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Purpose</w:t>
            </w:r>
          </w:p>
        </w:tc>
        <w:tc>
          <w:tcPr>
            <w:tcW w:type="dxa" w:w="6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Simplify business and financial operations through intelligent guidance, automation, due-diligence support, and client education</w:t>
            </w:r>
          </w:p>
        </w:tc>
      </w:tr>
    </w:tbl>
    <w:p>
      <w:pPr>
        <w:spacing w:after="120"/>
      </w:pPr>
    </w:p>
    <w:p>
      <w:pPr>
        <w:pStyle w:val="Heading2"/>
        <w:spacing w:after="140" w:before="320"/>
      </w:pPr>
      <w:r>
        <w:rPr>
          <w:rFonts w:ascii="Calibri" w:cs="Calibri" w:eastAsia="Calibri" w:hAnsi="Calibri"/>
          <w:b/>
          <w:bCs/>
          <w:color w:val="0F2A1E"/>
          <w:sz w:val="26"/>
          <w:szCs w:val="26"/>
        </w:rPr>
        <w:t xml:space="preserve">1.1 Brand Structure</w:t>
      </w:r>
    </w:p>
    <w:p>
      <w:pPr>
        <w:pStyle w:val="ListParagraph"/>
        <w:numPr>
          <w:ilvl w:val="0"/>
          <w:numId w:val="1"/>
        </w:numPr>
        <w:spacing w:after="80"/>
        <w:ind w:left="360"/>
      </w:pPr>
      <w:r>
        <w:rPr>
          <w:rFonts w:ascii="Calibri" w:cs="Calibri" w:eastAsia="Calibri" w:hAnsi="Calibri"/>
          <w:color w:val="222222"/>
          <w:sz w:val="21"/>
          <w:szCs w:val="21"/>
        </w:rPr>
        <w:t xml:space="preserve">GG is the technology and AI brand</w:t>
      </w:r>
    </w:p>
    <w:p>
      <w:pPr>
        <w:pStyle w:val="ListParagraph"/>
        <w:numPr>
          <w:ilvl w:val="0"/>
          <w:numId w:val="1"/>
        </w:numPr>
        <w:spacing w:after="80"/>
        <w:ind w:left="360"/>
      </w:pPr>
      <w:r>
        <w:rPr>
          <w:rFonts w:ascii="Calibri" w:cs="Calibri" w:eastAsia="Calibri" w:hAnsi="Calibri"/>
          <w:color w:val="222222"/>
          <w:sz w:val="21"/>
          <w:szCs w:val="21"/>
        </w:rPr>
        <w:t xml:space="preserve">Gigi is the robot, personality, and digital concierge — the face of GG</w:t>
      </w:r>
    </w:p>
    <w:p>
      <w:pPr>
        <w:pStyle w:val="ListParagraph"/>
        <w:numPr>
          <w:ilvl w:val="0"/>
          <w:numId w:val="1"/>
        </w:numPr>
        <w:spacing w:after="80"/>
        <w:ind w:left="360"/>
      </w:pPr>
      <w:r>
        <w:rPr>
          <w:rFonts w:ascii="Calibri" w:cs="Calibri" w:eastAsia="Calibri" w:hAnsi="Calibri"/>
          <w:color w:val="222222"/>
          <w:sz w:val="21"/>
          <w:szCs w:val="21"/>
        </w:rPr>
        <w:t xml:space="preserve">Best Face Forward Financial Solutions™ remains the client-facing parent brand; GG powers the technology, automation, education, and AI support beneath it</w:t>
      </w:r>
    </w:p>
    <w:p>
      <w:pPr>
        <w:pStyle w:val="ListParagraph"/>
        <w:numPr>
          <w:ilvl w:val="0"/>
          <w:numId w:val="1"/>
        </w:numPr>
        <w:spacing w:after="80"/>
        <w:ind w:left="360"/>
      </w:pPr>
      <w:r>
        <w:rPr>
          <w:rFonts w:ascii="Calibri" w:cs="Calibri" w:eastAsia="Calibri" w:hAnsi="Calibri"/>
          <w:color w:val="222222"/>
          <w:sz w:val="21"/>
          <w:szCs w:val="21"/>
        </w:rPr>
        <w:t xml:space="preserve">G&amp;G Software Solutions™ (custom dev + productized software) is a separate, unrelated system — see the closing note in the Architecture Diagram for why these stay distinct despite the shared “GG” prefix</w:t>
      </w:r>
    </w:p>
    <w:p>
      <w:pPr>
        <w:spacing w:after="120"/>
      </w:pPr>
    </w:p>
    <w:p>
      <w:pPr>
        <w:pStyle w:val="Heading2"/>
        <w:spacing w:after="140" w:before="320"/>
      </w:pPr>
      <w:r>
        <w:rPr>
          <w:rFonts w:ascii="Calibri" w:cs="Calibri" w:eastAsia="Calibri" w:hAnsi="Calibri"/>
          <w:b/>
          <w:bCs/>
          <w:color w:val="0F2A1E"/>
          <w:sz w:val="26"/>
          <w:szCs w:val="26"/>
        </w:rPr>
        <w:t xml:space="preserve">1.2 Voice</w:t>
      </w:r>
    </w:p>
    <w:p>
      <w:pPr>
        <w:spacing w:after="160" w:line="276"/>
      </w:pPr>
      <w:r>
        <w:rPr>
          <w:rFonts w:ascii="Calibri" w:cs="Calibri" w:eastAsia="Calibri" w:hAnsi="Calibri"/>
          <w:color w:val="222222"/>
          <w:sz w:val="21"/>
          <w:szCs w:val="21"/>
        </w:rPr>
        <w:t xml:space="preserve">African American female. Calm, warm, professional, confident, protective, knowledgeable without sounding intimidating. Every generated response — across every host platform — should be checkable against this voice, not just against factual accuracy.</w:t>
      </w:r>
    </w:p>
    <w:p>
      <w:pPr>
        <w:spacing w:after="120"/>
      </w:pPr>
    </w:p>
    <w:p>
      <w:pPr>
        <w:pStyle w:val="Heading2"/>
        <w:spacing w:after="140" w:before="320"/>
      </w:pPr>
      <w:r>
        <w:rPr>
          <w:rFonts w:ascii="Calibri" w:cs="Calibri" w:eastAsia="Calibri" w:hAnsi="Calibri"/>
          <w:b/>
          <w:bCs/>
          <w:color w:val="0F2A1E"/>
          <w:sz w:val="26"/>
          <w:szCs w:val="26"/>
        </w:rPr>
        <w:t xml:space="preserve">1.3 Visual Identity</w:t>
      </w:r>
    </w:p>
    <w:p>
      <w:pPr>
        <w:pStyle w:val="ListParagraph"/>
        <w:numPr>
          <w:ilvl w:val="0"/>
          <w:numId w:val="1"/>
        </w:numPr>
        <w:spacing w:after="80"/>
        <w:ind w:left="360"/>
      </w:pPr>
      <w:r>
        <w:rPr>
          <w:rFonts w:ascii="Calibri" w:cs="Calibri" w:eastAsia="Calibri" w:hAnsi="Calibri"/>
          <w:color w:val="222222"/>
          <w:sz w:val="21"/>
          <w:szCs w:val="21"/>
        </w:rPr>
        <w:t xml:space="preserve">Friendly female AI robot: white body, green panels, gold joints and details, pink/magenta lighting</w:t>
      </w:r>
    </w:p>
    <w:p>
      <w:pPr>
        <w:pStyle w:val="ListParagraph"/>
        <w:numPr>
          <w:ilvl w:val="0"/>
          <w:numId w:val="1"/>
        </w:numPr>
        <w:spacing w:after="80"/>
        <w:ind w:left="360"/>
      </w:pPr>
      <w:r>
        <w:rPr>
          <w:rFonts w:ascii="Calibri" w:cs="Calibri" w:eastAsia="Calibri" w:hAnsi="Calibri"/>
          <w:color w:val="222222"/>
          <w:sz w:val="21"/>
          <w:szCs w:val="21"/>
        </w:rPr>
        <w:t xml:space="preserve">Headset with digital halo; two longer ponytails with baby hairs and two tendril curls; brown skin tones, African American-inspired facial styling</w:t>
      </w:r>
    </w:p>
    <w:p>
      <w:pPr>
        <w:pStyle w:val="ListParagraph"/>
        <w:numPr>
          <w:ilvl w:val="0"/>
          <w:numId w:val="1"/>
        </w:numPr>
        <w:spacing w:after="80"/>
        <w:ind w:left="360"/>
      </w:pPr>
      <w:r>
        <w:rPr>
          <w:rFonts w:ascii="Calibri" w:cs="Calibri" w:eastAsia="Calibri" w:hAnsi="Calibri"/>
          <w:color w:val="222222"/>
          <w:sz w:val="21"/>
          <w:szCs w:val="21"/>
        </w:rPr>
        <w:t xml:space="preserve">“Gigi” displayed on her chest, with a green heart over the second “i”</w:t>
      </w:r>
    </w:p>
    <w:p>
      <w:pPr>
        <w:pStyle w:val="ListParagraph"/>
        <w:numPr>
          <w:ilvl w:val="0"/>
          <w:numId w:val="1"/>
        </w:numPr>
        <w:spacing w:after="80"/>
        <w:ind w:left="360"/>
      </w:pPr>
      <w:r>
        <w:rPr>
          <w:rFonts w:ascii="Calibri" w:cs="Calibri" w:eastAsia="Calibri" w:hAnsi="Calibri"/>
          <w:color w:val="222222"/>
          <w:sz w:val="21"/>
          <w:szCs w:val="21"/>
        </w:rPr>
        <w:t xml:space="preserve">Standing color rule: green, pink, gold, cream, white, charcoal, and optional brown — never primary blue, in any host platform's rendering of her</w:t>
      </w:r>
    </w:p>
    <w:p>
      <w:r>
        <w:br w:type="page"/>
      </w:r>
    </w:p>
    <w:p>
      <w:pPr>
        <w:pStyle w:val="Heading1"/>
        <w:pBdr>
          <w:bottom w:val="single" w:color="C9A227" w:sz="8" w:space="4"/>
        </w:pBdr>
        <w:spacing w:after="200" w:before="480"/>
      </w:pPr>
      <w:r>
        <w:rPr>
          <w:rFonts w:ascii="Calibri" w:cs="Calibri" w:eastAsia="Calibri" w:hAnsi="Calibri"/>
          <w:b/>
          <w:bCs/>
          <w:color w:val="1B4332"/>
          <w:sz w:val="32"/>
          <w:szCs w:val="32"/>
        </w:rPr>
        <w:t xml:space="preserve">2. What Gigi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Function</w:t>
            </w:r>
          </w:p>
        </w:tc>
        <w:tc>
          <w:tcPr>
            <w:tcW w:type="dxa" w:w="696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Description</w:t>
            </w:r>
          </w:p>
        </w:tc>
      </w:tr>
      <w:tr>
        <w:tc>
          <w:tcPr>
            <w:tcW w:type="dxa" w:w="24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Plain-language Q&amp;A</w:t>
            </w:r>
          </w:p>
        </w:tc>
        <w:tc>
          <w:tcPr>
            <w:tcW w:type="dxa" w:w="6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Answers financial and operational questions without jargon, adapting explanation depth to the user</w:t>
            </w:r>
          </w:p>
        </w:tc>
      </w:tr>
      <w:tr>
        <w:tc>
          <w:tcPr>
            <w:tcW w:type="dxa" w:w="24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Report/terminology translation</w:t>
            </w:r>
          </w:p>
        </w:tc>
        <w:tc>
          <w:tcPr>
            <w:tcW w:type="dxa" w:w="69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Helps clients understand reports and financial terms they're looking at, in the host platform's own context</w:t>
            </w:r>
          </w:p>
        </w:tc>
      </w:tr>
      <w:tr>
        <w:tc>
          <w:tcPr>
            <w:tcW w:type="dxa" w:w="24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Checklists, reminders, alerts</w:t>
            </w:r>
          </w:p>
        </w:tc>
        <w:tc>
          <w:tcPr>
            <w:tcW w:type="dxa" w:w="6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Surfaces what's due, what's missing, and what needs correcting — proactively, not just on request</w:t>
            </w:r>
          </w:p>
        </w:tc>
      </w:tr>
      <w:tr>
        <w:tc>
          <w:tcPr>
            <w:tcW w:type="dxa" w:w="24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Due diligence support</w:t>
            </w:r>
          </w:p>
        </w:tc>
        <w:tc>
          <w:tcPr>
            <w:tcW w:type="dxa" w:w="69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Assists inside Expense IQ specifically, and supports tax offices, service bureaus, nonprofits, and small businesses across the other platforms</w:t>
            </w:r>
          </w:p>
        </w:tc>
      </w:tr>
      <w:tr>
        <w:tc>
          <w:tcPr>
            <w:tcW w:type="dxa" w:w="24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Academy instruction</w:t>
            </w:r>
          </w:p>
        </w:tc>
        <w:tc>
          <w:tcPr>
            <w:tcW w:type="dxa" w:w="6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Guides users through the Financial Language Academy (Section 5)</w:t>
            </w:r>
          </w:p>
        </w:tc>
      </w:tr>
      <w:tr>
        <w:tc>
          <w:tcPr>
            <w:tcW w:type="dxa" w:w="24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Overall aim</w:t>
            </w:r>
          </w:p>
        </w:tc>
        <w:tc>
          <w:tcPr>
            <w:tcW w:type="dxa" w:w="69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Help users “work smarter, serve better, and grow faster”</w:t>
            </w:r>
          </w:p>
        </w:tc>
      </w:tr>
    </w:tbl>
    <w:p>
      <w:r>
        <w:br w:type="page"/>
      </w:r>
    </w:p>
    <w:p>
      <w:pPr>
        <w:pStyle w:val="Heading1"/>
        <w:pBdr>
          <w:bottom w:val="single" w:color="C9A227" w:sz="8" w:space="4"/>
        </w:pBdr>
        <w:spacing w:after="200" w:before="480"/>
      </w:pPr>
      <w:r>
        <w:rPr>
          <w:rFonts w:ascii="Calibri" w:cs="Calibri" w:eastAsia="Calibri" w:hAnsi="Calibri"/>
          <w:b/>
          <w:bCs/>
          <w:color w:val="1B4332"/>
          <w:sz w:val="32"/>
          <w:szCs w:val="32"/>
        </w:rPr>
        <w:t xml:space="preserve">3. Embedding Architecture — One Gigi, Five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4"/>
              <w:left w:val="single" w:color="1B4332" w:sz="24"/>
              <w:bottom w:val="single" w:color="1B4332" w:sz="4"/>
              <w:right w:val="single" w:color="1B4332" w:sz="4"/>
            </w:tcBorders>
            <w:shd w:fill="FDF6E3" w:val="clear"/>
            <w:tcMar>
              <w:top w:type="dxa" w:w="140"/>
              <w:left w:type="dxa" w:w="200"/>
              <w:bottom w:type="dxa" w:w="140"/>
              <w:right w:type="dxa" w:w="200"/>
            </w:tcMar>
          </w:tcPr>
          <w:p>
            <w:pPr>
              <w:spacing w:after="60"/>
            </w:pPr>
            <w:r>
              <w:rPr>
                <w:rFonts w:ascii="Calibri" w:cs="Calibri" w:eastAsia="Calibri" w:hAnsi="Calibri"/>
                <w:b/>
                <w:bCs/>
                <w:color w:val="0F2A1E"/>
                <w:sz w:val="21"/>
                <w:szCs w:val="21"/>
              </w:rPr>
              <w:t xml:space="preserve">The One Rule</w:t>
            </w:r>
          </w:p>
          <w:p>
            <w:r>
              <w:rPr>
                <w:rFonts w:ascii="Calibri" w:cs="Calibri" w:eastAsia="Calibri" w:hAnsi="Calibri"/>
                <w:color w:val="222222"/>
                <w:sz w:val="20"/>
                <w:szCs w:val="20"/>
              </w:rPr>
              <w:t xml:space="preserve">Gigi is built once, in this system, and embedded everywhere else via API. No host platform is permitted to build its own local copy of her persona, knowledge logic, or escalation rules — that's how five platforms end up with five slightly different, drifting versions of the same assistant.</w:t>
            </w:r>
          </w:p>
        </w:tc>
      </w:tr>
    </w:tbl>
    <w:p>
      <w:pPr>
        <w:spacing w:after="120"/>
      </w:pPr>
    </w:p>
    <w:p>
      <w:pPr>
        <w:pStyle w:val="Heading2"/>
        <w:spacing w:after="140" w:before="320"/>
      </w:pPr>
      <w:r>
        <w:rPr>
          <w:rFonts w:ascii="Calibri" w:cs="Calibri" w:eastAsia="Calibri" w:hAnsi="Calibri"/>
          <w:b/>
          <w:bCs/>
          <w:color w:val="0F2A1E"/>
          <w:sz w:val="26"/>
          <w:szCs w:val="26"/>
        </w:rPr>
        <w:t xml:space="preserve">3.1 Integration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Step</w:t>
            </w:r>
          </w:p>
        </w:tc>
        <w:tc>
          <w:tcPr>
            <w:tcW w:type="dxa" w:w="866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What Happens</w:t>
            </w:r>
          </w:p>
        </w:tc>
      </w:tr>
      <w:tr>
        <w:tc>
          <w:tcPr>
            <w:tcW w:type="dxa" w:w="7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1</w:t>
            </w:r>
          </w:p>
        </w:tc>
        <w:tc>
          <w:tcPr>
            <w:tcW w:type="dxa" w:w="86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Host platform (e.g., Insurance Solutions) authenticates to GG AI Concierge via its host_platform_integration API key</w:t>
            </w:r>
          </w:p>
        </w:tc>
      </w:tr>
      <w:tr>
        <w:tc>
          <w:tcPr>
            <w:tcW w:type="dxa" w:w="7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2</w:t>
            </w:r>
          </w:p>
        </w:tc>
        <w:tc>
          <w:tcPr>
            <w:tcW w:type="dxa" w:w="86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Host platform passes context: which knowledge_domain applies (e.g., “insurance”), the user's role, and relevant account/record IDs</w:t>
            </w:r>
          </w:p>
        </w:tc>
      </w:tr>
      <w:tr>
        <w:tc>
          <w:tcPr>
            <w:tcW w:type="dxa" w:w="7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3</w:t>
            </w:r>
          </w:p>
        </w:tc>
        <w:tc>
          <w:tcPr>
            <w:tcW w:type="dxa" w:w="86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Gigi answers using that domain's knowledge base — she does not answer insurance questions using Expense IQ's knowledge domain, even for a user who has both</w:t>
            </w:r>
          </w:p>
        </w:tc>
      </w:tr>
      <w:tr>
        <w:tc>
          <w:tcPr>
            <w:tcW w:type="dxa" w:w="7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4</w:t>
            </w:r>
          </w:p>
        </w:tc>
        <w:tc>
          <w:tcPr>
            <w:tcW w:type="dxa" w:w="86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If the question requires licensed advice or falls outside her knowledge domain's confidence threshold, she escalates (Section 6) rather than guessing</w:t>
            </w:r>
          </w:p>
        </w:tc>
      </w:tr>
      <w:tr>
        <w:tc>
          <w:tcPr>
            <w:tcW w:type="dxa" w:w="7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5</w:t>
            </w:r>
          </w:p>
        </w:tc>
        <w:tc>
          <w:tcPr>
            <w:tcW w:type="dxa" w:w="86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The conversation logs back to GG AI Concierge's own database (Sec. 4), not scattered across each host platform's separate storage</w:t>
            </w:r>
          </w:p>
        </w:tc>
      </w:tr>
    </w:tbl>
    <w:p>
      <w:pPr>
        <w:spacing w:after="120"/>
      </w:pPr>
    </w:p>
    <w:p>
      <w:pPr>
        <w:pStyle w:val="Heading2"/>
        <w:spacing w:after="140" w:before="320"/>
      </w:pPr>
      <w:r>
        <w:rPr>
          <w:rFonts w:ascii="Calibri" w:cs="Calibri" w:eastAsia="Calibri" w:hAnsi="Calibri"/>
          <w:b/>
          <w:bCs/>
          <w:color w:val="0F2A1E"/>
          <w:sz w:val="26"/>
          <w:szCs w:val="26"/>
        </w:rPr>
        <w:t xml:space="preserve">3.2 Cross-Platform Memory</w:t>
      </w:r>
    </w:p>
    <w:p>
      <w:pPr>
        <w:spacing w:after="160" w:line="276"/>
      </w:pPr>
      <w:r>
        <w:rPr>
          <w:rFonts w:ascii="Calibri" w:cs="Calibri" w:eastAsia="Calibri" w:hAnsi="Calibri"/>
          <w:color w:val="222222"/>
          <w:sz w:val="21"/>
          <w:szCs w:val="21"/>
        </w:rPr>
        <w:t xml:space="preserve">A client who uses both Financial Solutions and Insurance Solutions should not have to re-explain their situation to two different-feeling Gigis. Cross-platform context handoff (Prompt 18) links a client's conversations across host platforms under one identity, so Gigi's tone and awareness stay consistent — without leaking one platform's sensitive data into another's context unnecessarily (e.g., insurance underwriting details shouldn't surface inside a bookkeeping conversation just because it's the same client).</w:t>
      </w:r>
    </w:p>
    <w:p>
      <w:r>
        <w:br w:type="page"/>
      </w:r>
    </w:p>
    <w:p>
      <w:pPr>
        <w:pStyle w:val="Heading1"/>
        <w:pBdr>
          <w:bottom w:val="single" w:color="C9A227" w:sz="8" w:space="4"/>
        </w:pBdr>
        <w:spacing w:after="200" w:before="480"/>
      </w:pPr>
      <w:r>
        <w:rPr>
          <w:rFonts w:ascii="Calibri" w:cs="Calibri" w:eastAsia="Calibri" w:hAnsi="Calibri"/>
          <w:b/>
          <w:bCs/>
          <w:color w:val="1B4332"/>
          <w:sz w:val="32"/>
          <w:szCs w:val="32"/>
        </w:rPr>
        <w:t xml:space="preserve">4. Database Schema — Core Tables</w:t>
      </w:r>
    </w:p>
    <w:p>
      <w:pPr>
        <w:pStyle w:val="Heading2"/>
        <w:spacing w:after="140" w:before="320"/>
      </w:pPr>
      <w:r>
        <w:rPr>
          <w:rFonts w:ascii="Calibri" w:cs="Calibri" w:eastAsia="Calibri" w:hAnsi="Calibri"/>
          <w:b/>
          <w:bCs/>
          <w:color w:val="0F2A1E"/>
          <w:sz w:val="26"/>
          <w:szCs w:val="26"/>
        </w:rPr>
        <w:t xml:space="preserve">4.1 host_platform_integrations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Field</w:t>
            </w:r>
          </w:p>
        </w:tc>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Type</w:t>
            </w:r>
          </w:p>
        </w:tc>
        <w:tc>
          <w:tcPr>
            <w:tcW w:type="dxa" w:w="496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integration_id</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UUID (PK)</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
            </w:r>
          </w:p>
        </w:tc>
      </w:tr>
      <w:tr>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platform_name</w:t>
            </w:r>
          </w:p>
        </w:tc>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enum</w:t>
            </w:r>
          </w:p>
        </w:tc>
        <w:tc>
          <w:tcPr>
            <w:tcW w:type="dxa" w:w="49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expense_iq | insurance_solutions | financial_solutions | logistics | gg_software</w:t>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api_key, status</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varies</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status = active/revoked — a revoked platform's Gigi embed stops responding immediately</w:t>
            </w:r>
          </w:p>
        </w:tc>
      </w:tr>
    </w:tbl>
    <w:p>
      <w:pPr>
        <w:spacing w:after="120"/>
      </w:pPr>
    </w:p>
    <w:p>
      <w:pPr>
        <w:pStyle w:val="Heading2"/>
        <w:spacing w:after="140" w:before="320"/>
      </w:pPr>
      <w:r>
        <w:rPr>
          <w:rFonts w:ascii="Calibri" w:cs="Calibri" w:eastAsia="Calibri" w:hAnsi="Calibri"/>
          <w:b/>
          <w:bCs/>
          <w:color w:val="0F2A1E"/>
          <w:sz w:val="26"/>
          <w:szCs w:val="26"/>
        </w:rPr>
        <w:t xml:space="preserve">4.2 knowledge_domains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Field</w:t>
            </w:r>
          </w:p>
        </w:tc>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Type</w:t>
            </w:r>
          </w:p>
        </w:tc>
        <w:tc>
          <w:tcPr>
            <w:tcW w:type="dxa" w:w="496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domain_id</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UUID (PK)</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
            </w:r>
          </w:p>
        </w:tc>
      </w:tr>
      <w:tr>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domain_name</w:t>
            </w:r>
          </w:p>
        </w:tc>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enum</w:t>
            </w:r>
          </w:p>
        </w:tc>
        <w:tc>
          <w:tcPr>
            <w:tcW w:type="dxa" w:w="49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expense_iq | insurance | financial | logistics | gg_software | academy</w:t>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knowledge_entries</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table (1:many)</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topic, plain_language_explanation, source_reference, confidence_threshold</w:t>
            </w:r>
          </w:p>
        </w:tc>
      </w:tr>
    </w:tbl>
    <w:p>
      <w:pPr>
        <w:spacing w:after="120"/>
      </w:pPr>
    </w:p>
    <w:p>
      <w:pPr>
        <w:pStyle w:val="Heading2"/>
        <w:spacing w:after="140" w:before="320"/>
      </w:pPr>
      <w:r>
        <w:rPr>
          <w:rFonts w:ascii="Calibri" w:cs="Calibri" w:eastAsia="Calibri" w:hAnsi="Calibri"/>
          <w:b/>
          <w:bCs/>
          <w:color w:val="0F2A1E"/>
          <w:sz w:val="26"/>
          <w:szCs w:val="26"/>
        </w:rPr>
        <w:t xml:space="preserve">4.3 conversations /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Field</w:t>
            </w:r>
          </w:p>
        </w:tc>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Type</w:t>
            </w:r>
          </w:p>
        </w:tc>
        <w:tc>
          <w:tcPr>
            <w:tcW w:type="dxa" w:w="496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conversation_id</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UUID (PK)</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
            </w:r>
          </w:p>
        </w:tc>
      </w:tr>
      <w:tr>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client_identity_id, platform_integration_id, domain_id</w:t>
            </w:r>
          </w:p>
        </w:tc>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UUID (FK)</w:t>
            </w:r>
          </w:p>
        </w:tc>
        <w:tc>
          <w:tcPr>
            <w:tcW w:type="dxa" w:w="49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client_identity_id is the cross-platform link (Sec. 3.2)</w:t>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messages</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table (1:many)</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sender (user/gigi), content, timestamp, confidence_score (for gigi messages)</w:t>
            </w:r>
          </w:p>
        </w:tc>
      </w:tr>
      <w:tr>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status</w:t>
            </w:r>
          </w:p>
        </w:tc>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enum</w:t>
            </w:r>
          </w:p>
        </w:tc>
        <w:tc>
          <w:tcPr>
            <w:tcW w:type="dxa" w:w="49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active | resolved | escalated</w:t>
            </w:r>
          </w:p>
        </w:tc>
      </w:tr>
    </w:tbl>
    <w:p>
      <w:pPr>
        <w:spacing w:after="120"/>
      </w:pPr>
    </w:p>
    <w:p>
      <w:pPr>
        <w:pStyle w:val="Heading2"/>
        <w:spacing w:after="140" w:before="320"/>
      </w:pPr>
      <w:r>
        <w:rPr>
          <w:rFonts w:ascii="Calibri" w:cs="Calibri" w:eastAsia="Calibri" w:hAnsi="Calibri"/>
          <w:b/>
          <w:bCs/>
          <w:color w:val="0F2A1E"/>
          <w:sz w:val="26"/>
          <w:szCs w:val="26"/>
        </w:rPr>
        <w:t xml:space="preserve">4.4 escalations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Field</w:t>
            </w:r>
          </w:p>
        </w:tc>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Type</w:t>
            </w:r>
          </w:p>
        </w:tc>
        <w:tc>
          <w:tcPr>
            <w:tcW w:type="dxa" w:w="496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escalation_id</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UUID (PK)</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
            </w:r>
          </w:p>
        </w:tc>
      </w:tr>
      <w:tr>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conversation_id / escalation_reason</w:t>
            </w:r>
          </w:p>
        </w:tc>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varies</w:t>
            </w:r>
          </w:p>
        </w:tc>
        <w:tc>
          <w:tcPr>
            <w:tcW w:type="dxa" w:w="49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reason: licensed_advice_boundary | low_confidence | user_requested | flagged_topic</w:t>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routed_to, status</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varies</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status = pending | acknowledged | resolved</w:t>
            </w:r>
          </w:p>
        </w:tc>
      </w:tr>
    </w:tbl>
    <w:p>
      <w:pPr>
        <w:spacing w:after="120"/>
      </w:pPr>
    </w:p>
    <w:p>
      <w:pPr>
        <w:pStyle w:val="Heading2"/>
        <w:spacing w:after="140" w:before="320"/>
      </w:pPr>
      <w:r>
        <w:rPr>
          <w:rFonts w:ascii="Calibri" w:cs="Calibri" w:eastAsia="Calibri" w:hAnsi="Calibri"/>
          <w:b/>
          <w:bCs/>
          <w:color w:val="0F2A1E"/>
          <w:sz w:val="26"/>
          <w:szCs w:val="26"/>
        </w:rPr>
        <w:t xml:space="preserve">4.5 academy_members / courses /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Field</w:t>
            </w:r>
          </w:p>
        </w:tc>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Type</w:t>
            </w:r>
          </w:p>
        </w:tc>
        <w:tc>
          <w:tcPr>
            <w:tcW w:type="dxa" w:w="496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member_id, membership_tier, billing_cycle</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varies</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See Section 5.4 for pricing</w:t>
            </w:r>
          </w:p>
        </w:tc>
      </w:tr>
      <w:tr>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course_id, subject_area</w:t>
            </w:r>
          </w:p>
        </w:tc>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enum</w:t>
            </w:r>
          </w:p>
        </w:tc>
        <w:tc>
          <w:tcPr>
            <w:tcW w:type="dxa" w:w="49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financial_language | business_language | grant_language | tax_language | insurance_language | logistics_language</w:t>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certification_id, certification_name, earned_date</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varies</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Financial Language Certified™, Grant Ready Certification, Business Finance Certification</w:t>
            </w:r>
          </w:p>
        </w:tc>
      </w:tr>
      <w:tr>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progress</w:t>
            </w:r>
          </w:p>
        </w:tc>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table (1:many)</w:t>
            </w:r>
          </w:p>
        </w:tc>
        <w:tc>
          <w:tcPr>
            <w:tcW w:type="dxa" w:w="49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member_id, course_id, lesson_completion, quiz_scores</w:t>
            </w:r>
          </w:p>
        </w:tc>
      </w:tr>
    </w:tbl>
    <w:p>
      <w:r>
        <w:br w:type="page"/>
      </w:r>
    </w:p>
    <w:p>
      <w:pPr>
        <w:pStyle w:val="Heading1"/>
        <w:pBdr>
          <w:bottom w:val="single" w:color="C9A227" w:sz="8" w:space="4"/>
        </w:pBdr>
        <w:spacing w:after="200" w:before="480"/>
      </w:pPr>
      <w:r>
        <w:rPr>
          <w:rFonts w:ascii="Calibri" w:cs="Calibri" w:eastAsia="Calibri" w:hAnsi="Calibri"/>
          <w:b/>
          <w:bCs/>
          <w:color w:val="1B4332"/>
          <w:sz w:val="32"/>
          <w:szCs w:val="32"/>
        </w:rPr>
        <w:t xml:space="preserve">5. Financial Language Academy — Gigi as Instructor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D8F" w:sz="4"/>
              <w:left w:val="single" w:color="E85D8F" w:sz="24"/>
              <w:bottom w:val="single" w:color="E85D8F" w:sz="4"/>
              <w:right w:val="single" w:color="E85D8F" w:sz="4"/>
            </w:tcBorders>
            <w:shd w:fill="FDF6E3" w:val="clear"/>
            <w:tcMar>
              <w:top w:type="dxa" w:w="140"/>
              <w:left w:type="dxa" w:w="200"/>
              <w:bottom w:type="dxa" w:w="140"/>
              <w:right w:type="dxa" w:w="200"/>
            </w:tcMar>
          </w:tcPr>
          <w:p>
            <w:pPr>
              <w:spacing w:after="60"/>
            </w:pPr>
            <w:r>
              <w:rPr>
                <w:rFonts w:ascii="Calibri" w:cs="Calibri" w:eastAsia="Calibri" w:hAnsi="Calibri"/>
                <w:b/>
                <w:bCs/>
                <w:color w:val="0F2A1E"/>
                <w:sz w:val="21"/>
                <w:szCs w:val="21"/>
              </w:rPr>
              <w:t xml:space="preserve">Open Naming Decision</w:t>
            </w:r>
          </w:p>
          <w:p>
            <w:r>
              <w:rPr>
                <w:rFonts w:ascii="Calibri" w:cs="Calibri" w:eastAsia="Calibri" w:hAnsi="Calibri"/>
                <w:color w:val="222222"/>
                <w:sz w:val="20"/>
                <w:szCs w:val="20"/>
              </w:rPr>
              <w:t xml:space="preserve">Your own notes flag this as unresolved: “Financial Language Academy™” on its own, or “GG Financial Language Academy™” with Gigi positioned as official instructor. This document uses “Financial Language Academy™” throughout as a placeholder — replace it globally once you decide, including in the mobile/web UI copy and any marketing material, before this goes to a developer.</w:t>
            </w:r>
          </w:p>
        </w:tc>
      </w:tr>
    </w:tbl>
    <w:p>
      <w:pPr>
        <w:spacing w:after="120"/>
      </w:pPr>
    </w:p>
    <w:p>
      <w:pPr>
        <w:pStyle w:val="Heading2"/>
        <w:spacing w:after="140" w:before="320"/>
      </w:pPr>
      <w:r>
        <w:rPr>
          <w:rFonts w:ascii="Calibri" w:cs="Calibri" w:eastAsia="Calibri" w:hAnsi="Calibri"/>
          <w:b/>
          <w:bCs/>
          <w:color w:val="0F2A1E"/>
          <w:sz w:val="26"/>
          <w:szCs w:val="26"/>
        </w:rPr>
        <w:t xml:space="preserve">5.1 Purpose</w:t>
      </w:r>
    </w:p>
    <w:p>
      <w:pPr>
        <w:spacing w:after="160" w:line="276"/>
      </w:pPr>
      <w:r>
        <w:rPr>
          <w:rFonts w:ascii="Calibri" w:cs="Calibri" w:eastAsia="Calibri" w:hAnsi="Calibri"/>
          <w:color w:val="222222"/>
          <w:sz w:val="21"/>
          <w:szCs w:val="21"/>
        </w:rPr>
        <w:t xml:space="preserve">Teaches clients to understand, speak, and use financial language, rather than just handing them reports they don't understand — directly extending Gigi's core function (Section 2) into a structured curriculum.</w:t>
      </w:r>
    </w:p>
    <w:p>
      <w:pPr>
        <w:spacing w:after="120"/>
      </w:pPr>
    </w:p>
    <w:p>
      <w:pPr>
        <w:pStyle w:val="Heading2"/>
        <w:spacing w:after="140" w:before="320"/>
      </w:pPr>
      <w:r>
        <w:rPr>
          <w:rFonts w:ascii="Calibri" w:cs="Calibri" w:eastAsia="Calibri" w:hAnsi="Calibri"/>
          <w:b/>
          <w:bCs/>
          <w:color w:val="0F2A1E"/>
          <w:sz w:val="26"/>
          <w:szCs w:val="26"/>
        </w:rPr>
        <w:t xml:space="preserve">5.2 Subject Areas</w:t>
      </w:r>
    </w:p>
    <w:p>
      <w:pPr>
        <w:pStyle w:val="ListParagraph"/>
        <w:numPr>
          <w:ilvl w:val="0"/>
          <w:numId w:val="1"/>
        </w:numPr>
        <w:spacing w:after="80"/>
        <w:ind w:left="360"/>
      </w:pPr>
      <w:r>
        <w:rPr>
          <w:rFonts w:ascii="Calibri" w:cs="Calibri" w:eastAsia="Calibri" w:hAnsi="Calibri"/>
          <w:color w:val="222222"/>
          <w:sz w:val="21"/>
          <w:szCs w:val="21"/>
        </w:rPr>
        <w:t xml:space="preserve">Financial Language</w:t>
      </w:r>
    </w:p>
    <w:p>
      <w:pPr>
        <w:pStyle w:val="ListParagraph"/>
        <w:numPr>
          <w:ilvl w:val="0"/>
          <w:numId w:val="1"/>
        </w:numPr>
        <w:spacing w:after="80"/>
        <w:ind w:left="360"/>
      </w:pPr>
      <w:r>
        <w:rPr>
          <w:rFonts w:ascii="Calibri" w:cs="Calibri" w:eastAsia="Calibri" w:hAnsi="Calibri"/>
          <w:color w:val="222222"/>
          <w:sz w:val="21"/>
          <w:szCs w:val="21"/>
        </w:rPr>
        <w:t xml:space="preserve">Business Language</w:t>
      </w:r>
    </w:p>
    <w:p>
      <w:pPr>
        <w:pStyle w:val="ListParagraph"/>
        <w:numPr>
          <w:ilvl w:val="0"/>
          <w:numId w:val="1"/>
        </w:numPr>
        <w:spacing w:after="80"/>
        <w:ind w:left="360"/>
      </w:pPr>
      <w:r>
        <w:rPr>
          <w:rFonts w:ascii="Calibri" w:cs="Calibri" w:eastAsia="Calibri" w:hAnsi="Calibri"/>
          <w:color w:val="222222"/>
          <w:sz w:val="21"/>
          <w:szCs w:val="21"/>
        </w:rPr>
        <w:t xml:space="preserve">Grant Language</w:t>
      </w:r>
    </w:p>
    <w:p>
      <w:pPr>
        <w:pStyle w:val="ListParagraph"/>
        <w:numPr>
          <w:ilvl w:val="0"/>
          <w:numId w:val="1"/>
        </w:numPr>
        <w:spacing w:after="80"/>
        <w:ind w:left="360"/>
      </w:pPr>
      <w:r>
        <w:rPr>
          <w:rFonts w:ascii="Calibri" w:cs="Calibri" w:eastAsia="Calibri" w:hAnsi="Calibri"/>
          <w:color w:val="222222"/>
          <w:sz w:val="21"/>
          <w:szCs w:val="21"/>
        </w:rPr>
        <w:t xml:space="preserve">Tax Language</w:t>
      </w:r>
    </w:p>
    <w:p>
      <w:pPr>
        <w:pStyle w:val="ListParagraph"/>
        <w:numPr>
          <w:ilvl w:val="0"/>
          <w:numId w:val="1"/>
        </w:numPr>
        <w:spacing w:after="80"/>
        <w:ind w:left="360"/>
      </w:pPr>
      <w:r>
        <w:rPr>
          <w:rFonts w:ascii="Calibri" w:cs="Calibri" w:eastAsia="Calibri" w:hAnsi="Calibri"/>
          <w:color w:val="222222"/>
          <w:sz w:val="21"/>
          <w:szCs w:val="21"/>
        </w:rPr>
        <w:t xml:space="preserve">Insurance Language</w:t>
      </w:r>
    </w:p>
    <w:p>
      <w:pPr>
        <w:pStyle w:val="ListParagraph"/>
        <w:numPr>
          <w:ilvl w:val="0"/>
          <w:numId w:val="1"/>
        </w:numPr>
        <w:spacing w:after="80"/>
        <w:ind w:left="360"/>
      </w:pPr>
      <w:r>
        <w:rPr>
          <w:rFonts w:ascii="Calibri" w:cs="Calibri" w:eastAsia="Calibri" w:hAnsi="Calibri"/>
          <w:color w:val="222222"/>
          <w:sz w:val="21"/>
          <w:szCs w:val="21"/>
        </w:rPr>
        <w:t xml:space="preserve">Logistics Language</w:t>
      </w:r>
    </w:p>
    <w:p>
      <w:pPr>
        <w:spacing w:after="120"/>
      </w:pPr>
    </w:p>
    <w:p>
      <w:pPr>
        <w:pStyle w:val="Heading2"/>
        <w:spacing w:after="140" w:before="320"/>
      </w:pPr>
      <w:r>
        <w:rPr>
          <w:rFonts w:ascii="Calibri" w:cs="Calibri" w:eastAsia="Calibri" w:hAnsi="Calibri"/>
          <w:b/>
          <w:bCs/>
          <w:color w:val="0F2A1E"/>
          <w:sz w:val="26"/>
          <w:szCs w:val="26"/>
        </w:rPr>
        <w:t xml:space="preserve">5.3 Products</w:t>
      </w:r>
    </w:p>
    <w:p>
      <w:pPr>
        <w:pStyle w:val="ListParagraph"/>
        <w:numPr>
          <w:ilvl w:val="0"/>
          <w:numId w:val="1"/>
        </w:numPr>
        <w:spacing w:after="80"/>
        <w:ind w:left="360"/>
      </w:pPr>
      <w:r>
        <w:rPr>
          <w:rFonts w:ascii="Calibri" w:cs="Calibri" w:eastAsia="Calibri" w:hAnsi="Calibri"/>
          <w:color w:val="222222"/>
          <w:sz w:val="21"/>
          <w:szCs w:val="21"/>
        </w:rPr>
        <w:t xml:space="preserve">Financial Language 101</w:t>
      </w:r>
    </w:p>
    <w:p>
      <w:pPr>
        <w:pStyle w:val="ListParagraph"/>
        <w:numPr>
          <w:ilvl w:val="0"/>
          <w:numId w:val="1"/>
        </w:numPr>
        <w:spacing w:after="80"/>
        <w:ind w:left="360"/>
      </w:pPr>
      <w:r>
        <w:rPr>
          <w:rFonts w:ascii="Calibri" w:cs="Calibri" w:eastAsia="Calibri" w:hAnsi="Calibri"/>
          <w:color w:val="222222"/>
          <w:sz w:val="21"/>
          <w:szCs w:val="21"/>
        </w:rPr>
        <w:t xml:space="preserve">Financial Language Academy Membership</w:t>
      </w:r>
    </w:p>
    <w:p>
      <w:pPr>
        <w:pStyle w:val="ListParagraph"/>
        <w:numPr>
          <w:ilvl w:val="0"/>
          <w:numId w:val="1"/>
        </w:numPr>
        <w:spacing w:after="80"/>
        <w:ind w:left="360"/>
      </w:pPr>
      <w:r>
        <w:rPr>
          <w:rFonts w:ascii="Calibri" w:cs="Calibri" w:eastAsia="Calibri" w:hAnsi="Calibri"/>
          <w:color w:val="222222"/>
          <w:sz w:val="21"/>
          <w:szCs w:val="21"/>
        </w:rPr>
        <w:t xml:space="preserve">Financial Language Certified™</w:t>
      </w:r>
    </w:p>
    <w:p>
      <w:pPr>
        <w:pStyle w:val="ListParagraph"/>
        <w:numPr>
          <w:ilvl w:val="0"/>
          <w:numId w:val="1"/>
        </w:numPr>
        <w:spacing w:after="80"/>
        <w:ind w:left="360"/>
      </w:pPr>
      <w:r>
        <w:rPr>
          <w:rFonts w:ascii="Calibri" w:cs="Calibri" w:eastAsia="Calibri" w:hAnsi="Calibri"/>
          <w:color w:val="222222"/>
          <w:sz w:val="21"/>
          <w:szCs w:val="21"/>
        </w:rPr>
        <w:t xml:space="preserve">Grant Ready Certification</w:t>
      </w:r>
    </w:p>
    <w:p>
      <w:pPr>
        <w:pStyle w:val="ListParagraph"/>
        <w:numPr>
          <w:ilvl w:val="0"/>
          <w:numId w:val="1"/>
        </w:numPr>
        <w:spacing w:after="80"/>
        <w:ind w:left="360"/>
      </w:pPr>
      <w:r>
        <w:rPr>
          <w:rFonts w:ascii="Calibri" w:cs="Calibri" w:eastAsia="Calibri" w:hAnsi="Calibri"/>
          <w:color w:val="222222"/>
          <w:sz w:val="21"/>
          <w:szCs w:val="21"/>
        </w:rPr>
        <w:t xml:space="preserve">Business Finance Certification</w:t>
      </w:r>
    </w:p>
    <w:p>
      <w:pPr>
        <w:spacing w:after="120"/>
      </w:pPr>
    </w:p>
    <w:p>
      <w:pPr>
        <w:pStyle w:val="Heading2"/>
        <w:spacing w:after="140" w:before="320"/>
      </w:pPr>
      <w:r>
        <w:rPr>
          <w:rFonts w:ascii="Calibri" w:cs="Calibri" w:eastAsia="Calibri" w:hAnsi="Calibri"/>
          <w:b/>
          <w:bCs/>
          <w:color w:val="0F2A1E"/>
          <w:sz w:val="26"/>
          <w:szCs w:val="26"/>
        </w:rPr>
        <w:t xml:space="preserve">5.4 Pricing (as previously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Tier</w:t>
            </w:r>
          </w:p>
        </w:tc>
        <w:tc>
          <w:tcPr>
            <w:tcW w:type="dxa" w:w="468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Price</w:t>
            </w:r>
          </w:p>
        </w:tc>
      </w:tr>
      <w:tr>
        <w:tc>
          <w:tcPr>
            <w:tcW w:type="dxa" w:w="468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Monthly</w:t>
            </w:r>
          </w:p>
        </w:tc>
        <w:tc>
          <w:tcPr>
            <w:tcW w:type="dxa" w:w="468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$49/month</w:t>
            </w:r>
          </w:p>
        </w:tc>
      </w:tr>
      <w:tr>
        <w:tc>
          <w:tcPr>
            <w:tcW w:type="dxa" w:w="468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Annual</w:t>
            </w:r>
          </w:p>
        </w:tc>
        <w:tc>
          <w:tcPr>
            <w:tcW w:type="dxa" w:w="468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$497/year</w:t>
            </w:r>
          </w:p>
        </w:tc>
      </w:tr>
    </w:tbl>
    <w:p>
      <w:pPr>
        <w:spacing w:after="120"/>
      </w:pPr>
    </w:p>
    <w:p>
      <w:pPr>
        <w:pStyle w:val="Heading2"/>
        <w:spacing w:after="140" w:before="320"/>
      </w:pPr>
      <w:r>
        <w:rPr>
          <w:rFonts w:ascii="Calibri" w:cs="Calibri" w:eastAsia="Calibri" w:hAnsi="Calibri"/>
          <w:b/>
          <w:bCs/>
          <w:color w:val="0F2A1E"/>
          <w:sz w:val="26"/>
          <w:szCs w:val="26"/>
        </w:rPr>
        <w:t xml:space="preserve">5.5 Learning Formats</w:t>
      </w:r>
    </w:p>
    <w:p>
      <w:pPr>
        <w:pStyle w:val="ListParagraph"/>
        <w:numPr>
          <w:ilvl w:val="0"/>
          <w:numId w:val="1"/>
        </w:numPr>
        <w:spacing w:after="80"/>
        <w:ind w:left="360"/>
      </w:pPr>
      <w:r>
        <w:rPr>
          <w:rFonts w:ascii="Calibri" w:cs="Calibri" w:eastAsia="Calibri" w:hAnsi="Calibri"/>
          <w:color w:val="222222"/>
          <w:sz w:val="21"/>
          <w:szCs w:val="21"/>
        </w:rPr>
        <w:t xml:space="preserve">Financial education board game</w:t>
      </w:r>
    </w:p>
    <w:p>
      <w:pPr>
        <w:pStyle w:val="ListParagraph"/>
        <w:numPr>
          <w:ilvl w:val="0"/>
          <w:numId w:val="1"/>
        </w:numPr>
        <w:spacing w:after="80"/>
        <w:ind w:left="360"/>
      </w:pPr>
      <w:r>
        <w:rPr>
          <w:rFonts w:ascii="Calibri" w:cs="Calibri" w:eastAsia="Calibri" w:hAnsi="Calibri"/>
          <w:color w:val="222222"/>
          <w:sz w:val="21"/>
          <w:szCs w:val="21"/>
        </w:rPr>
        <w:t xml:space="preserve">Storyboards and scenario-based learning</w:t>
      </w:r>
    </w:p>
    <w:p>
      <w:pPr>
        <w:pStyle w:val="ListParagraph"/>
        <w:numPr>
          <w:ilvl w:val="0"/>
          <w:numId w:val="1"/>
        </w:numPr>
        <w:spacing w:after="80"/>
        <w:ind w:left="360"/>
      </w:pPr>
      <w:r>
        <w:rPr>
          <w:rFonts w:ascii="Calibri" w:cs="Calibri" w:eastAsia="Calibri" w:hAnsi="Calibri"/>
          <w:color w:val="222222"/>
          <w:sz w:val="21"/>
          <w:szCs w:val="21"/>
        </w:rPr>
        <w:t xml:space="preserve">Interactive lessons with Gigi as instructor and guide throughout</w:t>
      </w:r>
    </w:p>
    <w:p>
      <w:pPr>
        <w:spacing w:after="120"/>
      </w:pPr>
    </w:p>
    <w:p>
      <w:pPr>
        <w:pStyle w:val="Heading2"/>
        <w:spacing w:after="140" w:before="320"/>
      </w:pPr>
      <w:r>
        <w:rPr>
          <w:rFonts w:ascii="Calibri" w:cs="Calibri" w:eastAsia="Calibri" w:hAnsi="Calibri"/>
          <w:b/>
          <w:bCs/>
          <w:color w:val="0F2A1E"/>
          <w:sz w:val="26"/>
          <w:szCs w:val="26"/>
        </w:rPr>
        <w:t xml:space="preserve">5.6 Relationship to Business Builder Academy™</w:t>
      </w:r>
    </w:p>
    <w:p>
      <w:pPr>
        <w:spacing w:after="160" w:line="276"/>
      </w:pPr>
      <w:r>
        <w:rPr>
          <w:rFonts w:ascii="Calibri" w:cs="Calibri" w:eastAsia="Calibri" w:hAnsi="Calibri"/>
          <w:color w:val="222222"/>
          <w:sz w:val="21"/>
          <w:szCs w:val="21"/>
        </w:rPr>
        <w:t xml:space="preserve">Business Builder Academy™ is a separate, already-built academy (live inside the Best Face Forward Business Building Framework™) focused on business development, systems implementation, and funding readiness — distinct from Financial Language Academy's focus on financial literacy and terminology. Both may share Gigi as a guide, but they are two different curricula with two different purposes and should not be merged into one product.</w:t>
      </w:r>
    </w:p>
    <w:p>
      <w:r>
        <w:br w:type="page"/>
      </w:r>
    </w:p>
    <w:p>
      <w:pPr>
        <w:pStyle w:val="Heading1"/>
        <w:pBdr>
          <w:bottom w:val="single" w:color="C9A227" w:sz="8" w:space="4"/>
        </w:pBdr>
        <w:spacing w:after="200" w:before="480"/>
      </w:pPr>
      <w:r>
        <w:rPr>
          <w:rFonts w:ascii="Calibri" w:cs="Calibri" w:eastAsia="Calibri" w:hAnsi="Calibri"/>
          <w:b/>
          <w:bCs/>
          <w:color w:val="1B4332"/>
          <w:sz w:val="32"/>
          <w:szCs w:val="32"/>
        </w:rPr>
        <w:t xml:space="preserve">6. Escalation Logic &amp; the Licensed Advice Boundary</w:t>
      </w:r>
    </w:p>
    <w:p>
      <w:pPr>
        <w:spacing w:after="160" w:line="276"/>
      </w:pPr>
      <w:r>
        <w:rPr>
          <w:rFonts w:ascii="Calibri" w:cs="Calibri" w:eastAsia="Calibri" w:hAnsi="Calibri"/>
          <w:color w:val="222222"/>
          <w:sz w:val="21"/>
          <w:szCs w:val="21"/>
        </w:rPr>
        <w:t xml:space="preserve">Because Gigi operates across tax, financial advisory, and insurance contexts, she carries real liability exposure if she gives advice that legally must come from a licensed professional. This section exists to protect both clients and BFF.</w:t>
      </w:r>
    </w:p>
    <w:p>
      <w:pPr>
        <w:pStyle w:val="Heading2"/>
        <w:spacing w:after="140" w:before="320"/>
      </w:pPr>
      <w:r>
        <w:rPr>
          <w:rFonts w:ascii="Calibri" w:cs="Calibri" w:eastAsia="Calibri" w:hAnsi="Calibri"/>
          <w:b/>
          <w:bCs/>
          <w:color w:val="0F2A1E"/>
          <w:sz w:val="26"/>
          <w:szCs w:val="26"/>
        </w:rPr>
        <w:t xml:space="preserve">6.1 Escalation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Trigger</w:t>
            </w:r>
          </w:p>
        </w:tc>
        <w:tc>
          <w:tcPr>
            <w:tcW w:type="dxa" w:w="36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Example</w:t>
            </w:r>
          </w:p>
        </w:tc>
        <w:tc>
          <w:tcPr>
            <w:tcW w:type="dxa" w:w="376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Action</w:t>
            </w:r>
          </w:p>
        </w:tc>
      </w:tr>
      <w:tr>
        <w:tc>
          <w:tcPr>
            <w:tcW w:type="dxa" w:w="20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Licensed advice boundary</w:t>
            </w:r>
          </w:p>
        </w:tc>
        <w:tc>
          <w:tcPr>
            <w:tcW w:type="dxa" w:w="36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“Should I take this specific tax position” or “Which specific investment should I make”</w:t>
            </w:r>
          </w:p>
        </w:tc>
        <w:tc>
          <w:tcPr>
            <w:tcW w:type="dxa" w:w="37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Gigi explains the general concept, then routes to a human (Jameal or the relevant licensed team member) for the specific determination</w:t>
            </w:r>
          </w:p>
        </w:tc>
      </w:tr>
      <w:tr>
        <w:tc>
          <w:tcPr>
            <w:tcW w:type="dxa" w:w="20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Low confidence</w:t>
            </w:r>
          </w:p>
        </w:tc>
        <w:tc>
          <w:tcPr>
            <w:tcW w:type="dxa" w:w="36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Question falls below the knowledge domain's confidence_threshold (Sec. 4.2)</w:t>
            </w:r>
          </w:p>
        </w:tc>
        <w:tc>
          <w:tcPr>
            <w:tcW w:type="dxa" w:w="37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Gigi acknowledges the limit honestly rather than guessing, then escalates</w:t>
            </w:r>
          </w:p>
        </w:tc>
      </w:tr>
      <w:tr>
        <w:tc>
          <w:tcPr>
            <w:tcW w:type="dxa" w:w="20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User requested</w:t>
            </w:r>
          </w:p>
        </w:tc>
        <w:tc>
          <w:tcPr>
            <w:tcW w:type="dxa" w:w="36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Client explicitly asks for a human</w:t>
            </w:r>
          </w:p>
        </w:tc>
        <w:tc>
          <w:tcPr>
            <w:tcW w:type="dxa" w:w="37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Immediate escalation, no friction</w:t>
            </w:r>
          </w:p>
        </w:tc>
      </w:tr>
      <w:tr>
        <w:tc>
          <w:tcPr>
            <w:tcW w:type="dxa" w:w="20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Flagged topic</w:t>
            </w:r>
          </w:p>
        </w:tc>
        <w:tc>
          <w:tcPr>
            <w:tcW w:type="dxa" w:w="36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Topics pre-marked as always-escalate regardless of confidence (e.g., specific legal interpretation)</w:t>
            </w:r>
          </w:p>
        </w:tc>
        <w:tc>
          <w:tcPr>
            <w:tcW w:type="dxa" w:w="37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Escalates automatically, even if Gigi's confidence score would otherwise clear the threshold</w:t>
            </w:r>
          </w:p>
        </w:tc>
      </w:tr>
    </w:tbl>
    <w:p>
      <w:pPr>
        <w:spacing w:after="120"/>
      </w:pPr>
    </w:p>
    <w:p>
      <w:pPr>
        <w:pStyle w:val="Heading2"/>
        <w:spacing w:after="140" w:before="320"/>
      </w:pPr>
      <w:r>
        <w:rPr>
          <w:rFonts w:ascii="Calibri" w:cs="Calibri" w:eastAsia="Calibri" w:hAnsi="Calibri"/>
          <w:b/>
          <w:bCs/>
          <w:color w:val="0F2A1E"/>
          <w:sz w:val="26"/>
          <w:szCs w:val="26"/>
        </w:rPr>
        <w:t xml:space="preserve">6.2 What Gigi Can Always Do, Even When Escalating</w:t>
      </w:r>
    </w:p>
    <w:p>
      <w:pPr>
        <w:pStyle w:val="ListParagraph"/>
        <w:numPr>
          <w:ilvl w:val="0"/>
          <w:numId w:val="1"/>
        </w:numPr>
        <w:spacing w:after="80"/>
        <w:ind w:left="360"/>
      </w:pPr>
      <w:r>
        <w:rPr>
          <w:rFonts w:ascii="Calibri" w:cs="Calibri" w:eastAsia="Calibri" w:hAnsi="Calibri"/>
          <w:color w:val="222222"/>
          <w:sz w:val="21"/>
          <w:szCs w:val="21"/>
        </w:rPr>
        <w:t xml:space="preserve">Explain the general concept or terminology involved</w:t>
      </w:r>
    </w:p>
    <w:p>
      <w:pPr>
        <w:pStyle w:val="ListParagraph"/>
        <w:numPr>
          <w:ilvl w:val="0"/>
          <w:numId w:val="1"/>
        </w:numPr>
        <w:spacing w:after="80"/>
        <w:ind w:left="360"/>
      </w:pPr>
      <w:r>
        <w:rPr>
          <w:rFonts w:ascii="Calibri" w:cs="Calibri" w:eastAsia="Calibri" w:hAnsi="Calibri"/>
          <w:color w:val="222222"/>
          <w:sz w:val="21"/>
          <w:szCs w:val="21"/>
        </w:rPr>
        <w:t xml:space="preserve">Provide the checklist or documentation needed for the human to pick up the conversation with full context</w:t>
      </w:r>
    </w:p>
    <w:p>
      <w:pPr>
        <w:pStyle w:val="ListParagraph"/>
        <w:numPr>
          <w:ilvl w:val="0"/>
          <w:numId w:val="1"/>
        </w:numPr>
        <w:spacing w:after="80"/>
        <w:ind w:left="360"/>
      </w:pPr>
      <w:r>
        <w:rPr>
          <w:rFonts w:ascii="Calibri" w:cs="Calibri" w:eastAsia="Calibri" w:hAnsi="Calibri"/>
          <w:color w:val="222222"/>
          <w:sz w:val="21"/>
          <w:szCs w:val="21"/>
        </w:rPr>
        <w:t xml:space="preserve">Set a reminder or alert so nothing falls through the cracks during handoff</w:t>
      </w:r>
    </w:p>
    <w:p>
      <w:r>
        <w:br w:type="page"/>
      </w:r>
    </w:p>
    <w:p>
      <w:pPr>
        <w:pStyle w:val="Heading1"/>
        <w:pBdr>
          <w:bottom w:val="single" w:color="C9A227" w:sz="8" w:space="4"/>
        </w:pBdr>
        <w:spacing w:after="200" w:before="480"/>
      </w:pPr>
      <w:r>
        <w:rPr>
          <w:rFonts w:ascii="Calibri" w:cs="Calibri" w:eastAsia="Calibri" w:hAnsi="Calibri"/>
          <w:b/>
          <w:bCs/>
          <w:color w:val="1B4332"/>
          <w:sz w:val="32"/>
          <w:szCs w:val="32"/>
        </w:rPr>
        <w:t xml:space="preserve">7. Security &amp; Compliance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Control</w:t>
            </w:r>
          </w:p>
        </w:tc>
        <w:tc>
          <w:tcPr>
            <w:tcW w:type="dxa" w:w="676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Implementation</w:t>
            </w:r>
          </w:p>
        </w:tc>
      </w:tr>
      <w:tr>
        <w:tc>
          <w:tcPr>
            <w:tcW w:type="dxa" w:w="26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Encryption in transit / at rest</w:t>
            </w:r>
          </w:p>
        </w:tc>
        <w:tc>
          <w:tcPr>
            <w:tcW w:type="dxa" w:w="67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TLS 1.2+ and AES-256, consistent with the rest of the BFF product suite</w:t>
            </w:r>
          </w:p>
        </w:tc>
      </w:tr>
      <w:tr>
        <w:tc>
          <w:tcPr>
            <w:tcW w:type="dxa" w:w="26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API Key Management</w:t>
            </w:r>
          </w:p>
        </w:tc>
        <w:tc>
          <w:tcPr>
            <w:tcW w:type="dxa" w:w="67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Per-host-platform keys, individually revocable without affecting other platforms' Gigi embeds</w:t>
            </w:r>
          </w:p>
        </w:tc>
      </w:tr>
      <w:tr>
        <w:tc>
          <w:tcPr>
            <w:tcW w:type="dxa" w:w="26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Data Isolation</w:t>
            </w:r>
          </w:p>
        </w:tc>
        <w:tc>
          <w:tcPr>
            <w:tcW w:type="dxa" w:w="67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Knowledge domains and conversation data scoped so one host platform's context never leaks into another's without the explicit cross-platform handoff (Sec. 3.2)</w:t>
            </w:r>
          </w:p>
        </w:tc>
      </w:tr>
      <w:tr>
        <w:tc>
          <w:tcPr>
            <w:tcW w:type="dxa" w:w="26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Immutable Audit Log</w:t>
            </w:r>
          </w:p>
        </w:tc>
        <w:tc>
          <w:tcPr>
            <w:tcW w:type="dxa" w:w="67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Every conversation, escalation, and knowledge base change logged append-only — especially important given the due-diligence and licensed-advice-boundary stakes (Sec. 6)</w:t>
            </w:r>
          </w:p>
        </w:tc>
      </w:tr>
      <w:tr>
        <w:tc>
          <w:tcPr>
            <w:tcW w:type="dxa" w:w="26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Academy Payment Data</w:t>
            </w:r>
          </w:p>
        </w:tc>
        <w:tc>
          <w:tcPr>
            <w:tcW w:type="dxa" w:w="67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Membership billing data encrypted at the field level, same standard as client financial data elsewhere in the BFF suite</w:t>
            </w:r>
          </w:p>
        </w:tc>
      </w:tr>
    </w:tbl>
    <w:p>
      <w:r>
        <w:br w:type="page"/>
      </w:r>
    </w:p>
    <w:p>
      <w:pPr>
        <w:pStyle w:val="Heading1"/>
        <w:pBdr>
          <w:bottom w:val="single" w:color="C9A227" w:sz="8" w:space="4"/>
        </w:pBdr>
        <w:spacing w:after="200" w:before="480"/>
      </w:pPr>
      <w:r>
        <w:rPr>
          <w:rFonts w:ascii="Calibri" w:cs="Calibri" w:eastAsia="Calibri" w:hAnsi="Calibri"/>
          <w:b/>
          <w:bCs/>
          <w:color w:val="1B4332"/>
          <w:sz w:val="32"/>
          <w:szCs w:val="32"/>
        </w:rPr>
        <w:t xml:space="preserve">8. How This Document Should Be Used</w:t>
      </w:r>
    </w:p>
    <w:p>
      <w:pPr>
        <w:pStyle w:val="ListParagraph"/>
        <w:numPr>
          <w:ilvl w:val="0"/>
          <w:numId w:val="1"/>
        </w:numPr>
        <w:spacing w:after="80"/>
        <w:ind w:left="360"/>
      </w:pPr>
      <w:r>
        <w:rPr>
          <w:rFonts w:ascii="Calibri" w:cs="Calibri" w:eastAsia="Calibri" w:hAnsi="Calibri"/>
          <w:color w:val="222222"/>
          <w:sz w:val="21"/>
          <w:szCs w:val="21"/>
        </w:rPr>
        <w:t xml:space="preserve">Hand this document, together with its Architecture Diagram, to the developer or AI coding agent as Gigi's single source of truth.</w:t>
      </w:r>
    </w:p>
    <w:p>
      <w:pPr>
        <w:pStyle w:val="ListParagraph"/>
        <w:numPr>
          <w:ilvl w:val="0"/>
          <w:numId w:val="1"/>
        </w:numPr>
        <w:spacing w:after="80"/>
        <w:ind w:left="360"/>
      </w:pPr>
      <w:r>
        <w:rPr>
          <w:rFonts w:ascii="Calibri" w:cs="Calibri" w:eastAsia="Calibri" w:hAnsi="Calibri"/>
          <w:color w:val="222222"/>
          <w:sz w:val="21"/>
          <w:szCs w:val="21"/>
        </w:rPr>
        <w:t xml:space="preserve">Build Phases 1–2 (Foundation and Conversational Engine) before any host platform integration — Gigi needs to exist and work generically before she's embedded five times.</w:t>
      </w:r>
    </w:p>
    <w:p>
      <w:pPr>
        <w:pStyle w:val="ListParagraph"/>
        <w:numPr>
          <w:ilvl w:val="0"/>
          <w:numId w:val="1"/>
        </w:numPr>
        <w:spacing w:after="80"/>
        <w:ind w:left="360"/>
      </w:pPr>
      <w:r>
        <w:rPr>
          <w:rFonts w:ascii="Calibri" w:cs="Calibri" w:eastAsia="Calibri" w:hAnsi="Calibri"/>
          <w:color w:val="222222"/>
          <w:sz w:val="21"/>
          <w:szCs w:val="21"/>
        </w:rPr>
        <w:t xml:space="preserve">When updating the five other BFF platform specs (Expense IQ, Insurance, Financial, Logistics, G&amp;G Software), their “AI Assistant” prompts should reference Gigi and this document rather than redefining her behavior locally — see each spec's updated AI Assistant section for the pointer back here.</w:t>
      </w:r>
    </w:p>
    <w:p>
      <w:pPr>
        <w:pStyle w:val="ListParagraph"/>
        <w:numPr>
          <w:ilvl w:val="0"/>
          <w:numId w:val="1"/>
        </w:numPr>
        <w:spacing w:after="80"/>
        <w:ind w:left="360"/>
      </w:pPr>
      <w:r>
        <w:rPr>
          <w:rFonts w:ascii="Calibri" w:cs="Calibri" w:eastAsia="Calibri" w:hAnsi="Calibri"/>
          <w:color w:val="222222"/>
          <w:sz w:val="21"/>
          <w:szCs w:val="21"/>
        </w:rPr>
        <w:t xml:space="preserve">Resolve the Financial Language Academy naming decision (Sec. 5) before this goes further — it touches UI copy, marketing, and possibly the product database's domain_name enum.</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4"/>
              <w:left w:val="single" w:color="1B4332" w:sz="24"/>
              <w:bottom w:val="single" w:color="1B4332" w:sz="4"/>
              <w:right w:val="single" w:color="1B4332" w:sz="4"/>
            </w:tcBorders>
            <w:shd w:fill="FDF6E3" w:val="clear"/>
            <w:tcMar>
              <w:top w:type="dxa" w:w="140"/>
              <w:left w:type="dxa" w:w="200"/>
              <w:bottom w:type="dxa" w:w="140"/>
              <w:right w:type="dxa" w:w="200"/>
            </w:tcMar>
          </w:tcPr>
          <w:p>
            <w:pPr>
              <w:spacing w:after="60"/>
            </w:pPr>
            <w:r>
              <w:rPr>
                <w:rFonts w:ascii="Calibri" w:cs="Calibri" w:eastAsia="Calibri" w:hAnsi="Calibri"/>
                <w:b/>
                <w:bCs/>
                <w:color w:val="0F2A1E"/>
                <w:sz w:val="21"/>
                <w:szCs w:val="21"/>
              </w:rPr>
              <w:t xml:space="preserve">Brand &amp; UX Note</w:t>
            </w:r>
          </w:p>
          <w:p>
            <w:r>
              <w:rPr>
                <w:rFonts w:ascii="Calibri" w:cs="Calibri" w:eastAsia="Calibri" w:hAnsi="Calibri"/>
                <w:color w:val="222222"/>
                <w:sz w:val="20"/>
                <w:szCs w:val="20"/>
              </w:rPr>
              <w:t xml:space="preserve">Gigi's color rule is stricter than the general BFF palette: green, pink, gold, cream, white, charcoal, and optional brown — never primary blue, in any host platform. This is a hard constraint on her rendering, not a suggestion.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4" w:space="4"/>
      </w:pBdr>
      <w:jc w:val="right"/>
    </w:pPr>
    <w:r>
      <w:rPr>
        <w:rFonts w:ascii="Calibri" w:cs="Calibri" w:eastAsia="Calibri" w:hAnsi="Calibri"/>
        <w:color w:val="999999"/>
        <w:sz w:val="16"/>
        <w:szCs w:val="16"/>
      </w:rPr>
      <w:t xml:space="preserve">GG AI Concierge™ Technical Specification — BFF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2026-07-31T18:09:24.705Z</dcterms:created>
  <dcterms:modified xsi:type="dcterms:W3CDTF">2026-07-31T18:09:24.719Z</dcterms:modified>
</cp:coreProperties>
</file>

<file path=docProps/custom.xml><?xml version="1.0" encoding="utf-8"?>
<Properties xmlns="http://schemas.openxmlformats.org/officeDocument/2006/custom-properties" xmlns:vt="http://schemas.openxmlformats.org/officeDocument/2006/docPropsVTypes"/>
</file>