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C9A227"/>
          <w:sz w:val="24"/>
          <w:szCs w:val="24"/>
        </w:rPr>
        <w:t xml:space="preserve">BEST FACE FORWARD CONSULTANTS,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0F2A1E"/>
          <w:sz w:val="20"/>
          <w:szCs w:val="20"/>
        </w:rPr>
        <w:t xml:space="preserve">BFF Financial Solutions Division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332"/>
          <w:sz w:val="48"/>
          <w:szCs w:val="48"/>
        </w:rPr>
        <w:t xml:space="preserve">BFF FINANCIAL SOLUTIONS™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E85D8F"/>
          <w:sz w:val="26"/>
          <w:szCs w:val="26"/>
        </w:rPr>
        <w:t xml:space="preserve">Technical Specification &amp; System Integration Document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999999"/>
          <w:sz w:val="20"/>
          <w:szCs w:val="20"/>
        </w:rPr>
        <w:t xml:space="preserve">One Practice Platform — Bookkeeping, Advisory, Tax, and Analysis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24"/>
              <w:bottom w:val="single" w:color="C9A227" w:sz="4"/>
              <w:right w:val="single" w:color="C9A227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What This Document Is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This is the working engineering specification for BFF Financial Solutions™ — a solo-practitioner-ready, scalable platform covering four client service lines (bookkeeping and accounting, individual financial advisory, tax preparation, and business financial analysis) plus a fifth, structurally separate revenue line: tax software service bureau sales to independent sub-preparers. It defines the exact data fields, decision logic, and posting rules a developer or AI coding agent needs to implement it correctly, and it deliberately reuses the Ledger → Chart of Accounts discipline built for Expense IQ™ so the BFF product suite stays consistent.</w:t>
            </w:r>
          </w:p>
        </w:tc>
      </w:tr>
    </w:tbl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for: Best Face Forward Consultants, LLC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Prepared by: Jameal Clark, Founder &amp; Principal Consultant, GMCP | Xero Bronze Partner | IRS PTIN P02016385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Version 1.0 — July 2026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1. Executive Summary &amp; Scope Confirmation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Financial Solutions™ is a full financial consulting practice platform, not a single-purpose tool. It has to run four genuinely different service lines — bookkeeping, individual advisory, tax preparation, and business analysis — under one client relationship and one billing system, while starting from zero clients, which means lead generation and engagement setup are first-class citizens, not afterthoughts.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1.1 Confirmed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Confirmed Scope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Core purpose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Full practice platform: lead generation → engagement setup → service delivery (4 lines) → billing → client portal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Solo practitioner today; role structure built to add associates/bookkeepers without re-architecture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Zero existing clients — lead generation and conversion are required from day one, same posture as Insurance Solutions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 lines</w:t>
            </w:r>
          </w:p>
        </w:tc>
        <w:tc>
          <w:tcPr>
            <w:tcW w:type="dxa" w:w="6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Bookkeeping/accounting, individual financial advisory, tax preparation, business financial analysis and reporting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Additional revenue line</w:t>
            </w:r>
          </w:p>
        </w:tc>
        <w:tc>
          <w:tcPr>
            <w:tcW w:type="dxa" w:w="6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Tax software service bureau — reselling software seats to independent sub-preparers (Sec. 8). Wholesale relationship, not a client engagement.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Non-Negotiable Design Rule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 module may write a client's financial fact directly into a report, invoice, or tax return. Every bookkeeping transaction writes to that client's own Chart of Accounts and Ledger first; every report, invoice, and filing reads from there.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2. Service Line Architecture — One Client, Four Possible Engagements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core architectural challenge this platform solves: a single client (say, a small business owner) might need bookkeeping AND tax prep AND advisory — or just one of the three. The system must support multiple concurrent engagements per client without duplicating that client's core record four times.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2.1 Client vs. Engagement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person or business — contact info, entity type, household/business linkage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</w:t>
            </w:r>
          </w:p>
        </w:tc>
        <w:tc>
          <w:tcPr>
            <w:tcW w:type="dxa" w:w="71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service line contracted — has its own scope, fee structure, start date, and status. A client can have 1–4 active engagements simultaneously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 Letter</w:t>
            </w:r>
          </w:p>
        </w:tc>
        <w:tc>
          <w:tcPr>
            <w:tcW w:type="dxa" w:w="71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Generated per engagement, defines scope of work and fee — required before service delivery work can begin on that engagement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2.2 The Canonical Path (applies across all four service lines)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4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Failure Behavior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captured, scored, routed by service-line interest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Missing name/contact blocks save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Discovery/intake questionnaire completed (varies by service line, Sec. 4)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Incomplete intake blocks proposal generation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Fee proposal generated (Sec. 5), engagement letter issued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Cannot begin billable work without a signed engagement letter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 converts to Client + Engagement record at signature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Conversion trigger is signature, not first contact</w:t>
            </w:r>
          </w:p>
        </w:tc>
      </w:tr>
      <w:tr>
        <w:tc>
          <w:tcPr>
            <w:tcW w:type="dxa" w:w="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 delivery begins in the relevant module (Sec. 3–4)</w:t>
            </w:r>
          </w:p>
        </w:tc>
        <w:tc>
          <w:tcPr>
            <w:tcW w:type="dxa" w:w="44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Each service line's module is independent; one client can be mid-engagement on multiple simultaneously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Invoicing draws from engagement fee structure (Sec. 6)</w:t>
            </w:r>
          </w:p>
        </w:tc>
        <w:tc>
          <w:tcPr>
            <w:tcW w:type="dxa" w:w="44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Invoice must reference an active engagement_id, never a bare client_id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3. Database Schema — Core Tables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3.1 consultants /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consultant_id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principal | associate | bookkeeper | read_only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type (GMCP/PTIN/Xero/other), number, issue_date, expiration_date, ce_required, ce_completed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3.2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lead_id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service_line_interest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 (multi)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 | advisory | tax | analysis — can select more than one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source, contact_name, phone, email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score, stage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int, 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new | contacted | discovery | proposed | signed | lost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converted_client_id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(FK, nullable)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3.3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individual | business (drives which intake questionnaire and COA template applies)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business_name / ein OR individual name / ssn_last4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Field set depends on entity_type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3.4 engagements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service_line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bookkeeping | advisory | tax | analysis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fee_structure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hourly | flat | retainer — see Sec. 5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scope_of_work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Generated from Sec. 2.2 Step 3, editable before signature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proposed | active | paused | completed | terminated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engagement_letter_signed_at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non-null before service delivery work can log time or transactions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3.5 chart_of_accounts / transactions (per bookkeeping client)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Identical structure to Expense IQ™ Sections 3.3–3.4 — chart_of_accounts and transactions tables, scoped by client_id instead of org_id, same SMB/Nonprofit template split, same posting rule: every transaction resolves to exactly one Chart of Accounts code before it's considered posted.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3.6 financial_plans (advisory)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plan_id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engagement_id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net_worth_snapshot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 (dated)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Assets, liabilities, snapshot per review period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goals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goal_type (retirement/education/debt/emergency fund), target_amount, target_date, progress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recommendations_log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date, recommendation_text, status (proposed/accepted/declined)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3.7 tax_returns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return_id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client_id / engagement_id / tax_year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varies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filing_status, return_type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1040 | 1120 | 1120S | 1065 | 990, etc.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due_diligence_checklist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JSON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Form 8867 checklist items, required complete before filing (Sec. 5.2)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gathering_docs | in_prep | review | filed | amended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filed_date, extension_filed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date, boolean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3.8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9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invoice_id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(PK)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engagement_id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UUID (FK)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— never a bare client_id</w:t>
            </w:r>
          </w:p>
        </w:tc>
      </w:tr>
      <w:tr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line_items</w:t>
            </w:r>
          </w:p>
        </w:tc>
        <w:tc>
          <w:tcPr>
            <w:tcW w:type="dxa" w:w="22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 (1:many)</w:t>
            </w:r>
          </w:p>
        </w:tc>
        <w:tc>
          <w:tcPr>
            <w:tcW w:type="dxa" w:w="49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description, hours (if hourly), rate, amount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49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draft | sent | paid | overdue | written_off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4. Service-Line-Specific Intake &amp; Delivery Logic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4.1 Bookkeeping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current bookkeeping system (if any), bank/CC accounts to connect, backlog scope (how many months/years uncategorized), entity type for COA template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transaction import → categorization → monthly close checklist → financial statement generation, mirroring the Expense IQ pipeline but scoped per client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Cleanup projects (like a multi-year backlog) get their own project tracker with a transaction-count progress bar, separate from ongoing monthly bookkeeping status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4.2 Individual Financial Advisory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current net worth snapshot, income sources, existing accounts, financial goals, risk tolerance notes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goal tracking against target_date/target_amount, periodic net worth snapshots (not continuous like a ledger — advisory reviews are point-in-time), recommendations logged with accepted/declined status so follow-through is trackable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module explicitly does not execute trades or move client money — it tracks plans and recommendations only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4.3 Tax Preparation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Intake: prior year return (if available), entity/filing type, document checklist specific to that filing type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Delivery: due diligence checklist per Form 8867 / IRC §6695(g) requirements must show 100% complete before a return can move to filed status — this is a hard gate, not a suggestion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Deadline tracking is entity-type aware: individual (Apr 15), partnership/S-corp (Mar 15), C-corp (Apr 15), nonprofit 990 (May 15 for calendar year) — with extension tracking layered on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4.4 Business Financial Analysis &amp; Reporting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Draws from that client's own transactions/chart_of_accounts (same data bookkeeping produces) — this module does not require its own separate data entry if the client is also a bookkeeping client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For analysis-only clients (not also bookkeeping clients), supports manual/import upload of financials to analyze without becoming a full bookkeeping engagement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Outputs: KPI dashboard (gross margin, current ratio, days sales outstanding, etc.), trend analysis period-over-period, and a plain-language summary suitable for a non-financial business owner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5. Fee Proposal Engine &amp; Tax Due Diligence Gate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5.1 Fee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30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Best Fit</w:t>
            </w:r>
          </w:p>
        </w:tc>
        <w:tc>
          <w:tcPr>
            <w:tcW w:type="dxa" w:w="45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</w:tr>
      <w:tr>
        <w:tc>
          <w:tcPr>
            <w:tcW w:type="dxa" w:w="1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Hourly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Advisory sessions, ad hoc analysis</w:t>
            </w:r>
          </w:p>
        </w:tc>
        <w:tc>
          <w:tcPr>
            <w:tcW w:type="dxa" w:w="45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hours_logged × hourly_rate, invoiced per period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Flat fee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Tax return prep, bookkeeping cleanup projects</w:t>
            </w:r>
          </w:p>
        </w:tc>
        <w:tc>
          <w:tcPr>
            <w:tcW w:type="dxa" w:w="45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amount set at engagement signature, can be milestone-split</w:t>
            </w:r>
          </w:p>
        </w:tc>
      </w:tr>
      <w:tr>
        <w:tc>
          <w:tcPr>
            <w:tcW w:type="dxa" w:w="18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Retainer</w:t>
            </w:r>
          </w:p>
        </w:tc>
        <w:tc>
          <w:tcPr>
            <w:tcW w:type="dxa" w:w="30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Ongoing monthly bookkeeping, ongoing advisory relationship</w:t>
            </w:r>
          </w:p>
        </w:tc>
        <w:tc>
          <w:tcPr>
            <w:tcW w:type="dxa" w:w="45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Fixed recurring amount, auto-invoiced on a schedule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5.2 Tax Due Diligence Gate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Per IRS Form 8867 and IRC §6695(g) compliance requirements, a tax_returns record cannot move to status = filed unless due_diligence_checklist shows every required item complete. This mirrors the Uncategorized Transaction hard-block in Expense IQ's Validation Gate — same principle, applied to tax compliance instead of bookkeeping accuracy.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6. Security &amp; Compliance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67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Encryption in transit / at rest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TLS 1.2+ and AES-256, same standard as Expense IQ and Insurance Solutions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MFA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Required for principal/associate roles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Enforced at API layer; client portal scoped to that client's own engagements 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Data Isolation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Every query scoped by consultant_id/practice_id</w:t>
            </w:r>
          </w:p>
        </w:tc>
      </w:tr>
      <w:tr>
        <w:tc>
          <w:tcPr>
            <w:tcW w:type="dxa" w:w="26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Immutable Audit Log</w:t>
            </w:r>
          </w:p>
        </w:tc>
        <w:tc>
          <w:tcPr>
            <w:tcW w:type="dxa" w:w="67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All engagement, transaction, tax filing, and invoice actions logged append-only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PII/PHI-adjacent handling</w:t>
            </w:r>
          </w:p>
        </w:tc>
        <w:tc>
          <w:tcPr>
            <w:tcW w:type="dxa" w:w="67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SSN, tax documents, and financial account numbers encrypted at the field level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8. Tax Software &amp; Service Bureau Sales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BFF Financial Solutions™ also operates as a tax software service bureau — reselling tax preparation software licenses/seats to independent tax preparers (“sub-preparers”). This is a wholesale software resale relationship, not a consulting engagement, and it must stay structurally separate from the Client/Engagement model in Section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D8F" w:sz="4"/>
              <w:left w:val="single" w:color="E85D8F" w:sz="24"/>
              <w:bottom w:val="single" w:color="E85D8F" w:sz="4"/>
              <w:right w:val="single" w:color="E85D8F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Why This Is Not a Fifth Engagement Type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 sub-preparer is not a client. They don't get an intake questionnaire, an engagement letter, or a spot in the Clients table. Folding them into the Engagements model would corrupt practice-wide revenue reporting by mixing service-fee revenue with software resale margin — two fundamentally different economics.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8.1 Database Schema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60"/>
      </w:tblGrid>
      <w:tr>
        <w:trPr>
          <w:tblHeader/>
        </w:trPr>
        <w:tc>
          <w:tcPr>
            <w:tcW w:type="dxa" w:w="24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70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260"/>
            <w:shd w:fill="1B433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service_bureau_accounts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bureau_account_id, software_vendor, vendor_agreement_number, wholesale_cost_per_seat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One record per software vendor relationship (e.g., a Drake or TaxSlayer Pro bureau agreement)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sub_preparers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sub_preparer_id, business_name, contact_info, efin, ptin, status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 = active/inactive; EFIN and PTIN validity gate license activation (Sec. 8.3)</w:t>
            </w:r>
          </w:p>
        </w:tc>
      </w:tr>
      <w:tr>
        <w:tc>
          <w:tcPr>
            <w:tcW w:type="dxa" w:w="24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software_licenses</w:t>
            </w:r>
          </w:p>
        </w:tc>
        <w:tc>
          <w:tcPr>
            <w:tcW w:type="dxa" w:w="370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license_id, sub_preparer_id, tax_year, product_tier, seats_assigned, wholesale_cost, resale_price, status</w:t>
            </w:r>
          </w:p>
        </w:tc>
        <w:tc>
          <w:tcPr>
            <w:tcW w:type="dxa" w:w="3260"/>
            <w:shd w:fill="F5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status = active/expired/pending_renewal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sub_preparer_production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sub_preparer_id, tax_year, returns_filed_count, last_activity_date</w:t>
            </w:r>
          </w:p>
        </w:tc>
        <w:tc>
          <w:tcPr>
            <w:tcW w:type="dxa" w:w="326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Lightweight monitoring only — BFF is not auditing sub-preparers' work product, just tracking usage for support and renewal purposes</w:t>
            </w:r>
          </w:p>
        </w:tc>
      </w:tr>
    </w:tbl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8.2 Revenue Share &amp; Margin Calculation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margin = resale_price − wholesale_cost, calculated per seat at the point a license is assigned. Service bureau revenue rolls into Practice-Wide Reporting (Prompt 29) as its own category — reported separately from bookkeeping, advisory, tax, and analysis revenue, never blended into a single “revenue” figure that would obscure the very different margins involved.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8.3 License Activation Gate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software_licenses record cannot move to status = active unless the linked sub_preparer's EFIN and PTIN are both currently valid (not expired, not revoked). This mirrors the tax due diligence gate in Section 5.2 — same principle, applied to protect BFF from distributing licensed tax software to a preparer who has lost their credentials.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0F2A1E"/>
          <w:sz w:val="26"/>
          <w:szCs w:val="26"/>
        </w:rPr>
        <w:t xml:space="preserve">8.4 Renewal Cycle</w:t>
      </w:r>
    </w:p>
    <w:p>
      <w:pPr>
        <w:spacing w:after="16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License renewals run on an annual cycle tied to tax season — renewal notices should go out in the fall (October–November) for the upcoming filing season, well before the following year's filing season opens, giving sub-preparers time to renew without a service gap during peak season.</w:t>
      </w:r>
    </w:p>
    <w:p>
      <w:r>
        <w:br w:type="page"/>
      </w:r>
    </w:p>
    <w:p>
      <w:pPr>
        <w:pStyle w:val="Heading1"/>
        <w:pBdr>
          <w:bottom w:val="single" w:color="C9A227" w:sz="8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1B4332"/>
          <w:sz w:val="32"/>
          <w:szCs w:val="32"/>
        </w:rPr>
        <w:t xml:space="preserve">9. How This Document Should Be Used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Hand this document, together with the Master Prompt Architecture diagram, to the developer or AI coding agent as the combined spec.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Build Phase 2 (Lead Generation and Engagement Intake) early, same reasoning as Insurance Solutions — zero existing clients means the platform's first job is generating them.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3 (Bookkeeping) reuses the Ledger/Chart of Accounts logic from Expense IQ almost directly — if Expense IQ is built first, this phase should move faster by referencing that implementation rather than rebuilding it from scratch.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a living specification — as service lines are added or dropped, Section 2 (Service Line Architecture) and Section 4 (Service-Line-Specific Logic) are the sections that will need the most updates.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 7 (Tax Software and Service Bureau Sales, Section 8) can be built in parallel with Phases 2–6 rather than strictly after them — it doesn't depend on the Client/Engagement model, only on the Foundation phase (Prompt 6) being complete.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Prompt 31 (“AI Assistant” in the diagram) is Gigi — embed her via the separate GG AI Concierge™ specification rather than building a local assistant here. That document defines her persona, voice, and escalation logic once, for all BFF platforms.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332" w:sz="4"/>
              <w:left w:val="single" w:color="1B4332" w:sz="24"/>
              <w:bottom w:val="single" w:color="1B4332" w:sz="4"/>
              <w:right w:val="single" w:color="1B4332" w:sz="4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2A1E"/>
                <w:sz w:val="21"/>
                <w:szCs w:val="21"/>
              </w:rPr>
              <w:t xml:space="preserve">Brand &amp; UX Note</w:t>
            </w:r>
          </w:p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 using BFF's brand palette — Forest Green #1B4332, Metallic Gold #C9A227, Hot Pink #E85D8F — consistent with Expense IQ and Insurance Solutions, so the whole BFF suite feels like one company across divisions.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of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4"/>
      </w:pBd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BFF Financial Solutions™ Technical Specification — BFF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2026-07-31T18:12:02.664Z</dcterms:created>
  <dcterms:modified xsi:type="dcterms:W3CDTF">2026-07-31T18:12:02.664Z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