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9A227"/>
          <w:sz w:val="24"/>
          <w:szCs w:val="24"/>
        </w:rPr>
        <w:t xml:space="preserve">BEST FACE FORWARD CONSULTANTS, LLC</w:t>
      </w:r>
    </w:p>
    <w:p>
      <w:pPr>
        <w:spacing w:after="400"/>
        <w:jc w:val="center"/>
      </w:pPr>
      <w:r>
        <w:rPr>
          <w:rFonts w:ascii="Calibri" w:cs="Calibri" w:eastAsia="Calibri" w:hAnsi="Calibri"/>
          <w:color w:val="0F2A1E"/>
          <w:sz w:val="20"/>
          <w:szCs w:val="20"/>
        </w:rPr>
        <w:t xml:space="preserve">The Family's Philanthropic Vehicle</w:t>
      </w:r>
    </w:p>
    <w:p>
      <w:pPr>
        <w:spacing w:after="200"/>
        <w:jc w:val="center"/>
      </w:pPr>
      <w:r>
        <w:rPr>
          <w:rFonts w:ascii="Calibri" w:cs="Calibri" w:eastAsia="Calibri" w:hAnsi="Calibri"/>
          <w:b/>
          <w:bCs/>
          <w:color w:val="1B4332"/>
          <w:sz w:val="44"/>
          <w:szCs w:val="44"/>
        </w:rPr>
        <w:t xml:space="preserve">BFF FAMILY FOUNDATION™</w:t>
      </w:r>
    </w:p>
    <w:p>
      <w:pPr>
        <w:spacing w:after="300"/>
        <w:jc w:val="center"/>
      </w:pPr>
      <w:r>
        <w:rPr>
          <w:rFonts w:ascii="Calibri" w:cs="Calibri" w:eastAsia="Calibri" w:hAnsi="Calibri"/>
          <w:b/>
          <w:bCs/>
          <w:color w:val="E85D8F"/>
          <w:sz w:val="26"/>
          <w:szCs w:val="26"/>
        </w:rPr>
        <w:t xml:space="preserve">Technical Specification &amp; System Integration Document</w:t>
      </w:r>
    </w:p>
    <w:p>
      <w:pPr>
        <w:spacing w:after="100"/>
        <w:jc w:val="center"/>
      </w:pPr>
      <w:r>
        <w:rPr>
          <w:rFonts w:ascii="Calibri" w:cs="Calibri" w:eastAsia="Calibri" w:hAnsi="Calibri"/>
          <w:i/>
          <w:iCs/>
          <w:color w:val="999999"/>
          <w:sz w:val="20"/>
          <w:szCs w:val="20"/>
        </w:rPr>
        <w:t xml:space="preserve">“We give because it is who we are — not because of the tax deduction.”</w:t>
      </w:r>
    </w:p>
    <w:p>
      <w:pPr>
        <w:spacing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What This Document Is</w:t>
            </w:r>
          </w:p>
          <w:p>
            <w:r>
              <w:rPr>
                <w:rFonts w:ascii="Calibri" w:cs="Calibri" w:eastAsia="Calibri" w:hAnsi="Calibri"/>
                <w:color w:val="222222"/>
                <w:sz w:val="20"/>
                <w:szCs w:val="20"/>
              </w:rPr>
              <w:t xml:space="preserve">This is the working engineering specification for the BFF Family Foundation™ platform — the private foundation's own grant-making system. Unlike every other BFF platform, this one exists to give money away compliantly, not to help clients receive or track it. It defines the exact data fields, decision logic, and compliance gates a developer or AI coding agent needs to implement it correctly, with particular attention to the federal excise tax exposure that makes this platform's accuracy non-optional.</w:t>
            </w:r>
          </w:p>
        </w:tc>
      </w:tr>
    </w:tbl>
    <w:p>
      <w:pPr>
        <w:spacing w:after="300"/>
      </w:pPr>
    </w:p>
    <w:p>
      <w:pPr>
        <w:spacing w:after="40"/>
        <w:jc w:val="center"/>
      </w:pPr>
      <w:r>
        <w:rPr>
          <w:rFonts w:ascii="Calibri" w:cs="Calibri" w:eastAsia="Calibri" w:hAnsi="Calibri"/>
          <w:color w:val="222222"/>
          <w:sz w:val="20"/>
          <w:szCs w:val="20"/>
        </w:rPr>
        <w:t xml:space="preserve">Prepared for: Best Face Forward Consultants, LLC / The Clark Family</w:t>
      </w:r>
    </w:p>
    <w:p>
      <w:pPr>
        <w:spacing w:after="40"/>
        <w:jc w:val="center"/>
      </w:pPr>
      <w:r>
        <w:rPr>
          <w:rFonts w:ascii="Calibri" w:cs="Calibri" w:eastAsia="Calibri" w:hAnsi="Calibri"/>
          <w:color w:val="222222"/>
          <w:sz w:val="20"/>
          <w:szCs w:val="20"/>
        </w:rPr>
        <w:t xml:space="preserve">Prepared by: Jameal Clark, Founder &amp; CEO</w:t>
      </w:r>
    </w:p>
    <w:p>
      <w:pPr>
        <w:jc w:val="center"/>
      </w:pPr>
      <w:r>
        <w:rPr>
          <w:rFonts w:ascii="Calibri" w:cs="Calibri" w:eastAsia="Calibri" w:hAnsi="Calibri"/>
          <w:color w:val="999999"/>
          <w:sz w:val="20"/>
          <w:szCs w:val="20"/>
        </w:rPr>
        <w:t xml:space="preserve">Version 1.0 — July 2026</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 Executive Summary &amp; Confirmed Structure</w:t>
      </w:r>
    </w:p>
    <w:p>
      <w:pPr>
        <w:spacing w:after="160" w:line="276"/>
      </w:pPr>
      <w:r>
        <w:rPr>
          <w:rFonts w:ascii="Calibri" w:cs="Calibri" w:eastAsia="Calibri" w:hAnsi="Calibri"/>
          <w:color w:val="222222"/>
          <w:sz w:val="21"/>
          <w:szCs w:val="21"/>
        </w:rPr>
        <w:t xml:space="preserve">Every other platform in the BFF suite exists to help a client get money, spend money accurately, or manage a service relationship. The BFF Family Foundation™ platform is the inverse: it exists to give money away, under a body of federal tax law that penalizes an insufficiently generous private foundation. That inversion shapes every design decision in this document.</w:t>
      </w:r>
    </w:p>
    <w:p>
      <w:pPr>
        <w:pStyle w:val="Heading2"/>
        <w:spacing w:after="140" w:before="320"/>
      </w:pPr>
      <w:r>
        <w:rPr>
          <w:rFonts w:ascii="Calibri" w:cs="Calibri" w:eastAsia="Calibri" w:hAnsi="Calibri"/>
          <w:b/>
          <w:bCs/>
          <w:color w:val="0F2A1E"/>
          <w:sz w:val="26"/>
          <w:szCs w:val="26"/>
        </w:rPr>
        <w:t xml:space="preserve">1.1 Confirmed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Element</w:t>
            </w:r>
          </w:p>
        </w:tc>
        <w:tc>
          <w:tcPr>
            <w:tcW w:type="dxa" w:w="6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Specification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Structure</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Private Foundation under IRC §501(c)(3)</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Annual Distribution Requirement</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Minimum 5% of net investment assets annually (IRC §4942)</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Funding</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10% of annual enterprise distributions + family member gifts + public charitable contributions</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Governance</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Foundation Board: 2 family members + 1 community member + 1 nonprofit sector professional</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Form 990-PF</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Filed annually, prepared internally by BFF Grant &amp; Nonprofit Solutions</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Focus Areas</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 literacy education, childcare access, community development, historic preservation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Size Range</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$5,000–$50,000 per grant initially, growing with the endowment</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Application Process</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Annual grant cycle, published guidelines, community review committee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8F" w:sz="4"/>
              <w:left w:val="single" w:color="E85D8F" w:sz="24"/>
              <w:bottom w:val="single" w:color="E85D8F" w:sz="4"/>
              <w:right w:val="single" w:color="E85D8F"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Non-Negotiable Design Rule</w:t>
            </w:r>
          </w:p>
          <w:p>
            <w:r>
              <w:rPr>
                <w:rFonts w:ascii="Calibri" w:cs="Calibri" w:eastAsia="Calibri" w:hAnsi="Calibri"/>
                <w:color w:val="222222"/>
                <w:sz w:val="20"/>
                <w:szCs w:val="20"/>
              </w:rPr>
              <w:t xml:space="preserve">The system must track cumulative qualifying distributions against the IRC §4942 5% minimum in real time, not just at year-end. A private foundation that falls short faces a 30% excise tax on the shortfall — this platform's central job is making sure that never happens by surprise.</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2. Grant Lifecycle — Guidelines to Compliant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The One Rule</w:t>
            </w:r>
          </w:p>
          <w:p>
            <w:r>
              <w:rPr>
                <w:rFonts w:ascii="Calibri" w:cs="Calibri" w:eastAsia="Calibri" w:hAnsi="Calibri"/>
                <w:color w:val="222222"/>
                <w:sz w:val="20"/>
                <w:szCs w:val="20"/>
              </w:rPr>
              <w:t xml:space="preserve">Every grant application resolves to exactly one funding decision (approved, declined, or deferred), made by the Foundation Board with any conflicted member recused. Every approved grant produces exactly one disbursement record that counts toward the 5% distribution requirement — no informal or off-system giving that wouldn't be reflected in that running total.</w:t>
            </w:r>
          </w:p>
        </w:tc>
      </w:tr>
    </w:tbl>
    <w:p>
      <w:pPr>
        <w:spacing w:after="120"/>
      </w:pPr>
    </w:p>
    <w:p>
      <w:pPr>
        <w:pStyle w:val="Heading2"/>
        <w:spacing w:after="140" w:before="320"/>
      </w:pPr>
      <w:r>
        <w:rPr>
          <w:rFonts w:ascii="Calibri" w:cs="Calibri" w:eastAsia="Calibri" w:hAnsi="Calibri"/>
          <w:b/>
          <w:bCs/>
          <w:color w:val="0F2A1E"/>
          <w:sz w:val="26"/>
          <w:szCs w:val="26"/>
        </w:rPr>
        <w:t xml:space="preserve">2.1 The Canonical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Step</w:t>
            </w:r>
          </w:p>
        </w:tc>
        <w:tc>
          <w:tcPr>
            <w:tcW w:type="dxa" w:w="3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5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Failure Behavior</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cycle opens with published guidelines and focus areas</w:t>
            </w:r>
          </w:p>
        </w:tc>
        <w:tc>
          <w:tcPr>
            <w:tcW w:type="dxa" w:w="5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Guidelines must be publicly accessible — private foundations are subject to disclosure requirements (Sec. 7.2)</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Applicant organization submits application</w:t>
            </w:r>
          </w:p>
        </w:tc>
        <w:tc>
          <w:tcPr>
            <w:tcW w:type="dxa" w:w="5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Missing EIN or unverifiable 501(c)(3) status blocks submission past intake</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Completeness check, assignment to review committee</w:t>
            </w:r>
          </w:p>
        </w:tc>
        <w:tc>
          <w:tcPr>
            <w:tcW w:type="dxa" w:w="5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Incomplete applications route back to applicant with specific missing items, not a generic rejection</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Community review committee scores against the rubric</w:t>
            </w:r>
          </w:p>
        </w:tc>
        <w:tc>
          <w:tcPr>
            <w:tcW w:type="dxa" w:w="5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Scores and comments are recorded per reviewer — not just a final aggregate, to support audit and appeals</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Conflict of interest check runs before Board vote</w:t>
            </w:r>
          </w:p>
        </w:tc>
        <w:tc>
          <w:tcPr>
            <w:tcW w:type="dxa" w:w="5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Any Board member with a personal/financial connection to the applicant is flagged and recused automatically, not left to self-report</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6</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Foundation Board approves, declines, or defers</w:t>
            </w:r>
          </w:p>
        </w:tc>
        <w:tc>
          <w:tcPr>
            <w:tcW w:type="dxa" w:w="5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 decision cannot be recorded without a quorum of non-recused Board members</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7</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Award letter and grant agreement generated for approved grants</w:t>
            </w:r>
          </w:p>
        </w:tc>
        <w:tc>
          <w:tcPr>
            <w:tcW w:type="dxa" w:w="5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Agreement must specify use restrictions and reporting requirements before funds are released</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8</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Disbursement processed, counted toward 5% distribution tracking (Sec. 4)</w:t>
            </w:r>
          </w:p>
        </w:tc>
        <w:tc>
          <w:tcPr>
            <w:tcW w:type="dxa" w:w="5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Disbursement cannot be marked complete without updating the running distribution total</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9</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Grantee reporting collected per the agreement's schedule</w:t>
            </w:r>
          </w:p>
        </w:tc>
        <w:tc>
          <w:tcPr>
            <w:tcW w:type="dxa" w:w="5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Missing grantee reports flag the grant for follow-up, affecting future eligibility for that grantee</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3. Database Schema — Core Tables</w:t>
      </w:r>
    </w:p>
    <w:p>
      <w:pPr>
        <w:pStyle w:val="Heading2"/>
        <w:spacing w:after="140" w:before="320"/>
      </w:pPr>
      <w:r>
        <w:rPr>
          <w:rFonts w:ascii="Calibri" w:cs="Calibri" w:eastAsia="Calibri" w:hAnsi="Calibri"/>
          <w:b/>
          <w:bCs/>
          <w:color w:val="0F2A1E"/>
          <w:sz w:val="26"/>
          <w:szCs w:val="26"/>
        </w:rPr>
        <w:t xml:space="preserve">3.1 board_members / review_committee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member_id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member_type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family | community | nonprofit_professional | review_committee</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term_start, term_end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date</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disqualified_person_flag</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boolean</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True for family members and substantial contributors — drives self-dealing checks (Sec. 5.3)</w:t>
            </w:r>
          </w:p>
        </w:tc>
      </w:tr>
    </w:tbl>
    <w:p>
      <w:pPr>
        <w:spacing w:after="120"/>
      </w:pPr>
    </w:p>
    <w:p>
      <w:pPr>
        <w:pStyle w:val="Heading2"/>
        <w:spacing w:after="140" w:before="320"/>
      </w:pPr>
      <w:r>
        <w:rPr>
          <w:rFonts w:ascii="Calibri" w:cs="Calibri" w:eastAsia="Calibri" w:hAnsi="Calibri"/>
          <w:b/>
          <w:bCs/>
          <w:color w:val="0F2A1E"/>
          <w:sz w:val="26"/>
          <w:szCs w:val="26"/>
        </w:rPr>
        <w:t xml:space="preserve">3.2 endowment_assets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period_id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reporting_period, net_investment_assets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Average of this figure across the year drives the 5% minimum (Sec. 4.1)</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funding_source_breakdown</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JSON</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enterprise_distributions (10% rule), family_gifts, public_contributions</w:t>
            </w:r>
          </w:p>
        </w:tc>
      </w:tr>
    </w:tbl>
    <w:p>
      <w:pPr>
        <w:spacing w:after="120"/>
      </w:pPr>
    </w:p>
    <w:p>
      <w:pPr>
        <w:pStyle w:val="Heading2"/>
        <w:spacing w:after="140" w:before="320"/>
      </w:pPr>
      <w:r>
        <w:rPr>
          <w:rFonts w:ascii="Calibri" w:cs="Calibri" w:eastAsia="Calibri" w:hAnsi="Calibri"/>
          <w:b/>
          <w:bCs/>
          <w:color w:val="0F2A1E"/>
          <w:sz w:val="26"/>
          <w:szCs w:val="26"/>
        </w:rPr>
        <w:t xml:space="preserve">3.3 grant_cycles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cycle_id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cycle_year, focus_areas, guidelines_version</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focus_areas: financial_literacy | childcare_access | community_development | historic_preservation</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application_open_date, application_close_date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date</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published_url</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Public-facing guidelines link — required for disclosure compliance</w:t>
            </w:r>
          </w:p>
        </w:tc>
      </w:tr>
    </w:tbl>
    <w:p>
      <w:pPr>
        <w:spacing w:after="120"/>
      </w:pPr>
    </w:p>
    <w:p>
      <w:pPr>
        <w:pStyle w:val="Heading2"/>
        <w:spacing w:after="140" w:before="320"/>
      </w:pPr>
      <w:r>
        <w:rPr>
          <w:rFonts w:ascii="Calibri" w:cs="Calibri" w:eastAsia="Calibri" w:hAnsi="Calibri"/>
          <w:b/>
          <w:bCs/>
          <w:color w:val="0F2A1E"/>
          <w:sz w:val="26"/>
          <w:szCs w:val="26"/>
        </w:rPr>
        <w:t xml:space="preserve">3.4 grant_applications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application_id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cycle_id / applicant_org_name / applicant_ein</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is_501c3_verified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boolean</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Blocks progression past intake if false (Sec. 2.1 Step 2)</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requested_amount, focus_area, narrative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requested_amount validated against the $5,000–$50,000 range (Sec. 1.1)</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submitted | under_review | approved | declined | deferred</w:t>
            </w:r>
          </w:p>
        </w:tc>
      </w:tr>
    </w:tbl>
    <w:p>
      <w:pPr>
        <w:spacing w:after="120"/>
      </w:pPr>
    </w:p>
    <w:p>
      <w:pPr>
        <w:pStyle w:val="Heading2"/>
        <w:spacing w:after="140" w:before="320"/>
      </w:pPr>
      <w:r>
        <w:rPr>
          <w:rFonts w:ascii="Calibri" w:cs="Calibri" w:eastAsia="Calibri" w:hAnsi="Calibri"/>
          <w:b/>
          <w:bCs/>
          <w:color w:val="0F2A1E"/>
          <w:sz w:val="26"/>
          <w:szCs w:val="26"/>
        </w:rPr>
        <w:t xml:space="preserve">3.5 application_reviews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review_id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application_id / reviewer_id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scores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JSON</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Per-rubric-category scores (Sec. 5.1), not just a single aggregate number</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recommendation, comments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bl>
    <w:p>
      <w:pPr>
        <w:spacing w:after="120"/>
      </w:pPr>
    </w:p>
    <w:p>
      <w:pPr>
        <w:pStyle w:val="Heading2"/>
        <w:spacing w:after="140" w:before="320"/>
      </w:pPr>
      <w:r>
        <w:rPr>
          <w:rFonts w:ascii="Calibri" w:cs="Calibri" w:eastAsia="Calibri" w:hAnsi="Calibri"/>
          <w:b/>
          <w:bCs/>
          <w:color w:val="0F2A1E"/>
          <w:sz w:val="26"/>
          <w:szCs w:val="26"/>
        </w:rPr>
        <w:t xml:space="preserve">3.6 grants_awarded / disbursements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grant_id / application_id</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award_amount, use_restrictions, reporting_schedule</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Written into the grant agreement (Sec. 2.1 Step 7)</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requires_expenditure_responsibility</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boolean</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True if grantee is not a public charity — triggers Sec. 5.2 workflow</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disbursement_id / grant_id / amount / disbursed_date</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Each disbursement updates the running 5% distribution total (Sec. 4.1) at the moment it posts</w:t>
            </w:r>
          </w:p>
        </w:tc>
      </w:tr>
    </w:tbl>
    <w:p>
      <w:pPr>
        <w:spacing w:after="120"/>
      </w:pPr>
    </w:p>
    <w:p>
      <w:pPr>
        <w:pStyle w:val="Heading2"/>
        <w:spacing w:after="140" w:before="320"/>
      </w:pPr>
      <w:r>
        <w:rPr>
          <w:rFonts w:ascii="Calibri" w:cs="Calibri" w:eastAsia="Calibri" w:hAnsi="Calibri"/>
          <w:b/>
          <w:bCs/>
          <w:color w:val="0F2A1E"/>
          <w:sz w:val="26"/>
          <w:szCs w:val="26"/>
        </w:rPr>
        <w:t xml:space="preserve">3.7 grantee_reports / conflicts_of_interest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report_id / grant_id / due_date / status</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 = pending | submitted | overdue</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report_content</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text/file</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Narrative and financial accounting of fund use</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conflict_id / member_id / application_id / recusal_recorded</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Logged automatically whenever a disqualified_person_flag member is linked to an applicant org</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4. The 5% Minimum Distribution Requirement (IRC §4942)</w:t>
      </w:r>
    </w:p>
    <w:p>
      <w:pPr>
        <w:pStyle w:val="Heading2"/>
        <w:spacing w:after="140" w:before="320"/>
      </w:pPr>
      <w:r>
        <w:rPr>
          <w:rFonts w:ascii="Calibri" w:cs="Calibri" w:eastAsia="Calibri" w:hAnsi="Calibri"/>
          <w:b/>
          <w:bCs/>
          <w:color w:val="0F2A1E"/>
          <w:sz w:val="26"/>
          <w:szCs w:val="26"/>
        </w:rPr>
        <w:t xml:space="preserve">4.1 Calculation Logic</w:t>
      </w:r>
    </w:p>
    <w:p>
      <w:pPr>
        <w:spacing w:after="160" w:line="276"/>
      </w:pPr>
      <w:r>
        <w:rPr>
          <w:rFonts w:ascii="Calibri" w:cs="Calibri" w:eastAsia="Calibri" w:hAnsi="Calibri"/>
          <w:color w:val="222222"/>
          <w:sz w:val="21"/>
          <w:szCs w:val="21"/>
        </w:rPr>
        <w:t xml:space="preserve">required_distribution = average_net_investment_assets × 0.05, calculated against the endowment_assets figures across the reporting period. qualifying_distributions accumulates from every disbursement record (Sec. 3.6) as it posts — not estimated, not batched at year-end. The platform should surface the running gap between required and actual distributions continuously, the same way Expense IQ surfaces a Tax Readiness Score, so the Board can course-correct mid-year rather than discovering a shortfall in December.</w:t>
      </w:r>
    </w:p>
    <w:p>
      <w:pPr>
        <w:spacing w:after="120"/>
      </w:pPr>
    </w:p>
    <w:p>
      <w:pPr>
        <w:pStyle w:val="Heading2"/>
        <w:spacing w:after="140" w:before="320"/>
      </w:pPr>
      <w:r>
        <w:rPr>
          <w:rFonts w:ascii="Calibri" w:cs="Calibri" w:eastAsia="Calibri" w:hAnsi="Calibri"/>
          <w:b/>
          <w:bCs/>
          <w:color w:val="0F2A1E"/>
          <w:sz w:val="26"/>
          <w:szCs w:val="26"/>
        </w:rPr>
        <w:t xml:space="preserve">4.2 Consequence of Shortfall</w:t>
      </w:r>
    </w:p>
    <w:p>
      <w:pPr>
        <w:spacing w:after="160" w:line="276"/>
      </w:pPr>
      <w:r>
        <w:rPr>
          <w:rFonts w:ascii="Calibri" w:cs="Calibri" w:eastAsia="Calibri" w:hAnsi="Calibri"/>
          <w:color w:val="222222"/>
          <w:sz w:val="21"/>
          <w:szCs w:val="21"/>
        </w:rPr>
        <w:t xml:space="preserve">A private foundation that fails to meet the 5% minimum owes a 30% excise tax on the undistributed amount, and the tax compounds if not corrected within the IRS's correction period. This is not a soft target — the system should treat approaching-shortfall as an alert-worthy condition well before year-end, not a year-end surprise.</w:t>
      </w:r>
    </w:p>
    <w:p>
      <w:pPr>
        <w:spacing w:after="120"/>
      </w:pPr>
    </w:p>
    <w:p>
      <w:pPr>
        <w:pStyle w:val="Heading2"/>
        <w:spacing w:after="140" w:before="320"/>
      </w:pPr>
      <w:r>
        <w:rPr>
          <w:rFonts w:ascii="Calibri" w:cs="Calibri" w:eastAsia="Calibri" w:hAnsi="Calibri"/>
          <w:b/>
          <w:bCs/>
          <w:color w:val="0F2A1E"/>
          <w:sz w:val="26"/>
          <w:szCs w:val="26"/>
        </w:rPr>
        <w:t xml:space="preserve">4.3 What Counts as a Qualifying Distribution</w:t>
      </w:r>
    </w:p>
    <w:p>
      <w:pPr>
        <w:pStyle w:val="ListParagraph"/>
        <w:numPr>
          <w:ilvl w:val="0"/>
          <w:numId w:val="1"/>
        </w:numPr>
        <w:spacing w:after="80"/>
        <w:ind w:left="360"/>
      </w:pPr>
      <w:r>
        <w:rPr>
          <w:rFonts w:ascii="Calibri" w:cs="Calibri" w:eastAsia="Calibri" w:hAnsi="Calibri"/>
          <w:color w:val="222222"/>
          <w:sz w:val="21"/>
          <w:szCs w:val="21"/>
        </w:rPr>
        <w:t xml:space="preserve">Grants paid to qualifying organizations (Sec. 5)</w:t>
      </w:r>
    </w:p>
    <w:p>
      <w:pPr>
        <w:pStyle w:val="ListParagraph"/>
        <w:numPr>
          <w:ilvl w:val="0"/>
          <w:numId w:val="1"/>
        </w:numPr>
        <w:spacing w:after="80"/>
        <w:ind w:left="360"/>
      </w:pPr>
      <w:r>
        <w:rPr>
          <w:rFonts w:ascii="Calibri" w:cs="Calibri" w:eastAsia="Calibri" w:hAnsi="Calibri"/>
          <w:color w:val="222222"/>
          <w:sz w:val="21"/>
          <w:szCs w:val="21"/>
        </w:rPr>
        <w:t xml:space="preserve">Reasonable administrative expenses directly related to grant-making</w:t>
      </w:r>
    </w:p>
    <w:p>
      <w:pPr>
        <w:pStyle w:val="ListParagraph"/>
        <w:numPr>
          <w:ilvl w:val="0"/>
          <w:numId w:val="1"/>
        </w:numPr>
        <w:spacing w:after="80"/>
        <w:ind w:left="360"/>
      </w:pPr>
      <w:r>
        <w:rPr>
          <w:rFonts w:ascii="Calibri" w:cs="Calibri" w:eastAsia="Calibri" w:hAnsi="Calibri"/>
          <w:color w:val="222222"/>
          <w:sz w:val="21"/>
          <w:szCs w:val="21"/>
        </w:rPr>
        <w:t xml:space="preserve">Amounts set aside for specific projects, under IRS-approved set-aside rules (advanced tracking, not required for initial launch but worth a schema placeholder)</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5. Grantee Eligibility &amp; Compliance Gates</w:t>
      </w:r>
    </w:p>
    <w:p>
      <w:pPr>
        <w:pStyle w:val="Heading2"/>
        <w:spacing w:after="140" w:before="320"/>
      </w:pPr>
      <w:r>
        <w:rPr>
          <w:rFonts w:ascii="Calibri" w:cs="Calibri" w:eastAsia="Calibri" w:hAnsi="Calibri"/>
          <w:b/>
          <w:bCs/>
          <w:color w:val="0F2A1E"/>
          <w:sz w:val="26"/>
          <w:szCs w:val="26"/>
        </w:rPr>
        <w:t xml:space="preserve">5.1 Review Committee Scoring Rubric</w:t>
      </w:r>
    </w:p>
    <w:p>
      <w:pPr>
        <w:spacing w:after="160" w:line="276"/>
      </w:pPr>
      <w:r>
        <w:rPr>
          <w:rFonts w:ascii="Calibri" w:cs="Calibri" w:eastAsia="Calibri" w:hAnsi="Calibri"/>
          <w:color w:val="222222"/>
          <w:sz w:val="21"/>
          <w:szCs w:val="21"/>
        </w:rPr>
        <w:t xml:space="preserve">Scoring should evaluate alignment to the four focus areas (financial literacy, childcare access, community development, historic preservation), organizational capacity to use the funds as proposed, and measurable outcome plans — each scored independently so a strong-mission/weak-capacity application is distinguishable from a strong-capacity/weak-mission one, rather than collapsing into one misleading number.</w:t>
      </w:r>
    </w:p>
    <w:p>
      <w:pPr>
        <w:spacing w:after="120"/>
      </w:pPr>
    </w:p>
    <w:p>
      <w:pPr>
        <w:pStyle w:val="Heading2"/>
        <w:spacing w:after="140" w:before="320"/>
      </w:pPr>
      <w:r>
        <w:rPr>
          <w:rFonts w:ascii="Calibri" w:cs="Calibri" w:eastAsia="Calibri" w:hAnsi="Calibri"/>
          <w:b/>
          <w:bCs/>
          <w:color w:val="0F2A1E"/>
          <w:sz w:val="26"/>
          <w:szCs w:val="26"/>
        </w:rPr>
        <w:t xml:space="preserve">5.2 Expenditure Responsibility (IRC §4945)</w:t>
      </w:r>
    </w:p>
    <w:p>
      <w:pPr>
        <w:spacing w:after="160" w:line="276"/>
      </w:pPr>
      <w:r>
        <w:rPr>
          <w:rFonts w:ascii="Calibri" w:cs="Calibri" w:eastAsia="Calibri" w:hAnsi="Calibri"/>
          <w:color w:val="222222"/>
          <w:sz w:val="21"/>
          <w:szCs w:val="21"/>
        </w:rPr>
        <w:t xml:space="preserve">If a grant recipient is not itself a public charity (e.g., a fiscally sponsored project without independent 501(c)(3) status), the Foundation must exercise “expenditure responsibility”: a pre-grant inquiry into the grantee's capacity, a written agreement restricting fund use, required reports from the grantee, and the Foundation's own reporting of this to the IRS. The requires_expenditure_responsibility flag (Sec. 3.6) should trigger this entire workflow automatically — it should not be something a reviewer has to remember to check for manually.</w:t>
      </w:r>
    </w:p>
    <w:p>
      <w:pPr>
        <w:spacing w:after="120"/>
      </w:pPr>
    </w:p>
    <w:p>
      <w:pPr>
        <w:pStyle w:val="Heading2"/>
        <w:spacing w:after="140" w:before="320"/>
      </w:pPr>
      <w:r>
        <w:rPr>
          <w:rFonts w:ascii="Calibri" w:cs="Calibri" w:eastAsia="Calibri" w:hAnsi="Calibri"/>
          <w:b/>
          <w:bCs/>
          <w:color w:val="0F2A1E"/>
          <w:sz w:val="26"/>
          <w:szCs w:val="26"/>
        </w:rPr>
        <w:t xml:space="preserve">5.3 Self-Dealing Restrictions (IRC §4941)</w:t>
      </w:r>
    </w:p>
    <w:p>
      <w:pPr>
        <w:spacing w:after="160" w:line="276"/>
      </w:pPr>
      <w:r>
        <w:rPr>
          <w:rFonts w:ascii="Calibri" w:cs="Calibri" w:eastAsia="Calibri" w:hAnsi="Calibri"/>
          <w:color w:val="222222"/>
          <w:sz w:val="21"/>
          <w:szCs w:val="21"/>
        </w:rPr>
        <w:t xml:space="preserve">Private foundations are prohibited from certain transactions with “disqualified persons” — substantial contributors, foundation managers, and their family members. The disqualified_person_flag on board_members (Sec. 3.1) exists specifically to catch the case where a family Board member has a connection to an applicant organization, triggering mandatory recusal (Sec. 2.1 Step 5) before that application can proceed to a vote.</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6. Reporting &amp; Public Transparency</w:t>
      </w:r>
    </w:p>
    <w:p>
      <w:pPr>
        <w:pStyle w:val="Heading2"/>
        <w:spacing w:after="140" w:before="320"/>
      </w:pPr>
      <w:r>
        <w:rPr>
          <w:rFonts w:ascii="Calibri" w:cs="Calibri" w:eastAsia="Calibri" w:hAnsi="Calibri"/>
          <w:b/>
          <w:bCs/>
          <w:color w:val="0F2A1E"/>
          <w:sz w:val="26"/>
          <w:szCs w:val="26"/>
        </w:rPr>
        <w:t xml:space="preserve">6.1 Form 990-PF Data Preparation</w:t>
      </w:r>
    </w:p>
    <w:p>
      <w:pPr>
        <w:spacing w:after="160" w:line="276"/>
      </w:pPr>
      <w:r>
        <w:rPr>
          <w:rFonts w:ascii="Calibri" w:cs="Calibri" w:eastAsia="Calibri" w:hAnsi="Calibri"/>
          <w:color w:val="222222"/>
          <w:sz w:val="21"/>
          <w:szCs w:val="21"/>
        </w:rPr>
        <w:t xml:space="preserve">The platform should generate the underlying data Form 990-PF requires — grants paid, administrative expenses, investment income, and the 5% distribution calculation — as a structured export, not a fully automated filing. Final preparation remains with BFF Grant &amp; Nonprofit Solutions per the confirmed structure (Sec. 1.1).</w:t>
      </w:r>
    </w:p>
    <w:p>
      <w:pPr>
        <w:spacing w:after="120"/>
      </w:pPr>
    </w:p>
    <w:p>
      <w:pPr>
        <w:pStyle w:val="Heading2"/>
        <w:spacing w:after="140" w:before="320"/>
      </w:pPr>
      <w:r>
        <w:rPr>
          <w:rFonts w:ascii="Calibri" w:cs="Calibri" w:eastAsia="Calibri" w:hAnsi="Calibri"/>
          <w:b/>
          <w:bCs/>
          <w:color w:val="0F2A1E"/>
          <w:sz w:val="26"/>
          <w:szCs w:val="26"/>
        </w:rPr>
        <w:t xml:space="preserve">6.2 Public Disclosure Requirements</w:t>
      </w:r>
    </w:p>
    <w:p>
      <w:pPr>
        <w:spacing w:after="160" w:line="276"/>
      </w:pPr>
      <w:r>
        <w:rPr>
          <w:rFonts w:ascii="Calibri" w:cs="Calibri" w:eastAsia="Calibri" w:hAnsi="Calibri"/>
          <w:color w:val="222222"/>
          <w:sz w:val="21"/>
          <w:szCs w:val="21"/>
        </w:rPr>
        <w:t xml:space="preserve">Private foundations must make Form 990-PF publicly available and, in practice, publishing grant guidelines openly (as this Foundation already does) supports transparency expectations. The grant_cycles.published_url field (Sec. 3.3) should be treated as a required field, not optional, for any cycle that goes live.</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7. Security &amp; Compliance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w:t>
            </w:r>
          </w:p>
        </w:tc>
        <w:tc>
          <w:tcPr>
            <w:tcW w:type="dxa" w:w="6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Implementation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in transit / at rest</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TLS 1.2+ and AES-256, consistent with the rest of the BFF product suite</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MFA</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for Board members and review committee members handling applicant financial data</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Role-Based Access Control</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Review committee members see application content but not Board voting/recusal records; public portal users see only published guidelines, never internal review data</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Data Isolation</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Applicant organization data isolated per application — review committee members should not see other reviewers' scores until their own is submitted, to avoid anchoring bias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Immutable Audit Log</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All application status changes, recusal decisions, Board votes, and disbursements logged append-only — critical given IRS scrutiny risk on private foundation self-dealing</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8. How This Document Should Be Used</w:t>
      </w:r>
    </w:p>
    <w:p>
      <w:pPr>
        <w:pStyle w:val="ListParagraph"/>
        <w:numPr>
          <w:ilvl w:val="0"/>
          <w:numId w:val="1"/>
        </w:numPr>
        <w:spacing w:after="80"/>
        <w:ind w:left="360"/>
      </w:pPr>
      <w:r>
        <w:rPr>
          <w:rFonts w:ascii="Calibri" w:cs="Calibri" w:eastAsia="Calibri" w:hAnsi="Calibri"/>
          <w:color w:val="222222"/>
          <w:sz w:val="21"/>
          <w:szCs w:val="21"/>
        </w:rPr>
        <w:t xml:space="preserve">Hand this document, together with the Master Prompt Architecture diagram, to the developer or AI coding agent as the combined spec.</w:t>
      </w:r>
    </w:p>
    <w:p>
      <w:pPr>
        <w:pStyle w:val="ListParagraph"/>
        <w:numPr>
          <w:ilvl w:val="0"/>
          <w:numId w:val="1"/>
        </w:numPr>
        <w:spacing w:after="80"/>
        <w:ind w:left="360"/>
      </w:pPr>
      <w:r>
        <w:rPr>
          <w:rFonts w:ascii="Calibri" w:cs="Calibri" w:eastAsia="Calibri" w:hAnsi="Calibri"/>
          <w:color w:val="222222"/>
          <w:sz w:val="21"/>
          <w:szCs w:val="21"/>
        </w:rPr>
        <w:t xml:space="preserve">Build Section 4's distribution tracking logic early and test it thoroughly — it's the single piece of this platform with real federal excise tax consequences if it's wrong.</w:t>
      </w:r>
    </w:p>
    <w:p>
      <w:pPr>
        <w:pStyle w:val="ListParagraph"/>
        <w:numPr>
          <w:ilvl w:val="0"/>
          <w:numId w:val="1"/>
        </w:numPr>
        <w:spacing w:after="80"/>
        <w:ind w:left="360"/>
      </w:pPr>
      <w:r>
        <w:rPr>
          <w:rFonts w:ascii="Calibri" w:cs="Calibri" w:eastAsia="Calibri" w:hAnsi="Calibri"/>
          <w:color w:val="222222"/>
          <w:sz w:val="21"/>
          <w:szCs w:val="21"/>
        </w:rPr>
        <w:t xml:space="preserve">Prompt 28 (“AI Assistant” in the diagram) is Gigi — embed her via the separate GG AI Concierge™ specification rather than building a local assistant here. That document defines her persona, voice, and escalation logic once, for all BFF platforms.</w:t>
      </w:r>
    </w:p>
    <w:p>
      <w:pPr>
        <w:pStyle w:val="ListParagraph"/>
        <w:numPr>
          <w:ilvl w:val="0"/>
          <w:numId w:val="1"/>
        </w:numPr>
        <w:spacing w:after="80"/>
        <w:ind w:left="360"/>
      </w:pPr>
      <w:r>
        <w:rPr>
          <w:rFonts w:ascii="Calibri" w:cs="Calibri" w:eastAsia="Calibri" w:hAnsi="Calibri"/>
          <w:color w:val="222222"/>
          <w:sz w:val="21"/>
          <w:szCs w:val="21"/>
        </w:rPr>
        <w:t xml:space="preserve">This is a living specification — as the endowment grows and grant sizes increase beyond the initial $5,000–$50,000 range, Section 1.1 and Section 4 are the sections that will need the most updates.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Brand &amp; UX Note</w:t>
            </w:r>
          </w:p>
          <w:p>
            <w:r>
              <w:rPr>
                <w:rFonts w:ascii="Calibri" w:cs="Calibri" w:eastAsia="Calibri" w:hAnsi="Calibri"/>
                <w:color w:val="222222"/>
                <w:sz w:val="20"/>
                <w:szCs w:val="20"/>
              </w:rPr>
              <w:t xml:space="preserve">Build using BFF's brand palette — Forest Green #1B4332, Metallic Gold #C9A227, Hot Pink #E85D8F — consistent with the rest of the BFF product suite. Given this platform's public-facing guidelines portal, prioritize a warm, mission-forward tone in the public UI — this is where an applicant nonprofit forms their first impression of the Foundation.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999999"/>
        <w:sz w:val="16"/>
        <w:szCs w:val="16"/>
      </w:rPr>
      <w:t xml:space="preserve">BFF Family Foundation™ Technical Specification — BFF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2026-07-31T18:19:40.292Z</dcterms:created>
  <dcterms:modified xsi:type="dcterms:W3CDTF">2026-07-31T18:19:40.308Z</dcterms:modified>
</cp:coreProperties>
</file>

<file path=docProps/custom.xml><?xml version="1.0" encoding="utf-8"?>
<Properties xmlns="http://schemas.openxmlformats.org/officeDocument/2006/custom-properties" xmlns:vt="http://schemas.openxmlformats.org/officeDocument/2006/docPropsVTypes"/>
</file>