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C9A227"/>
          <w:sz w:val="24"/>
          <w:szCs w:val="24"/>
        </w:rPr>
        <w:t xml:space="preserve">BEST FACE FORWARD CONSULTANTS, LLC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0F2A1E"/>
          <w:sz w:val="20"/>
          <w:szCs w:val="20"/>
        </w:rPr>
        <w:t xml:space="preserve">BFF Insurance Solutions Division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4332"/>
          <w:sz w:val="50"/>
          <w:szCs w:val="50"/>
        </w:rPr>
        <w:t xml:space="preserve">BFF INSURANCE SOLUTIONS™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E85D8F"/>
          <w:sz w:val="26"/>
          <w:szCs w:val="26"/>
        </w:rPr>
        <w:t xml:space="preserve">Technical Specification &amp; System Integration Document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From First Lead to Bound Policy to Renewal — One Accurate Chain of Custody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24"/>
              <w:bottom w:val="single" w:color="C9A227" w:sz="4"/>
              <w:right w:val="single" w:color="C9A227" w:sz="4"/>
            </w:tcBorders>
            <w:shd w:fill="FD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A1E"/>
                <w:sz w:val="21"/>
                <w:szCs w:val="21"/>
              </w:rPr>
              <w:t xml:space="preserve">What This Document Is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This is the working engineering specification for BFF Insurance Solutions™ — a solo-producer-ready, multi-agent-capable platform covering lead generation, multi-line quoting, policy and client management, commissions, and a client portal. It defines the exact data fields, decision logic, and posting rules a developer or AI coding agent needs to implement it correctly.</w:t>
            </w:r>
          </w:p>
        </w:tc>
      </w:tr>
    </w:tbl>
    <w:p>
      <w:pPr>
        <w:spacing w:after="300"/>
      </w:pP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Prepared for: Best Face Forward Consultants, LLC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Prepared by: Jameal Clark, Founder &amp; Principal Consultant, MD Life Insurance Producer</w:t>
      </w:r>
    </w:p>
    <w:p>
      <w:pPr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Version 1.0 — July 2026</w:t>
      </w:r>
    </w:p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1. Executive Summary &amp; Scope Confirmation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BFF Insurance Solutions™ is built for the reality of starting without an existing book of business: the platform must generate and convert leads, not just manage policies that already exist. It is scoped as a solo-producer tool today, architected so that adding agents later requires configuration, not rebuilding.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1.1 Confirmed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Confirmed Scope</w:t>
            </w:r>
          </w:p>
        </w:tc>
      </w:tr>
      <w:tr>
        <w:tc>
          <w:tcPr>
            <w:tcW w:type="dxa" w:w="2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Core purpose</w:t>
            </w:r>
          </w:p>
        </w:tc>
        <w:tc>
          <w:tcPr>
            <w:tcW w:type="dxa" w:w="6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Full lifecycle: lead generation → quoting → policy/client management → commissions → client portal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Primary users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Solo producer today; role and permission structure built to add agents without re-architecture</w:t>
            </w:r>
          </w:p>
        </w:tc>
      </w:tr>
      <w:tr>
        <w:tc>
          <w:tcPr>
            <w:tcW w:type="dxa" w:w="2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Lines of insurance</w:t>
            </w:r>
          </w:p>
        </w:tc>
        <w:tc>
          <w:tcPr>
            <w:tcW w:type="dxa" w:w="6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All lines from day one — life, health/supplemental, and P&amp;C — with a data model that scales as licensing expands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Compliance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MD Life Producer License tracked today; architecture supports multi-state, multi-line license and CE tracking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8F" w:sz="4"/>
              <w:left w:val="single" w:color="E85D8F" w:sz="24"/>
              <w:bottom w:val="single" w:color="E85D8F" w:sz="4"/>
              <w:right w:val="single" w:color="E85D8F" w:sz="4"/>
            </w:tcBorders>
            <w:shd w:fill="FD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A1E"/>
                <w:sz w:val="21"/>
                <w:szCs w:val="21"/>
              </w:rPr>
              <w:t xml:space="preserve">Non-Negotiable Design Rule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 module may write a bound policy or a commission figure directly into a report. Every module writes to the Policies and Commissions tables; every report reads from them. This is what makes production numbers and commission statements trustworthy.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2. System Integration Flow — Lead to Renewal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D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A1E"/>
                <w:sz w:val="21"/>
                <w:szCs w:val="21"/>
              </w:rPr>
              <w:t xml:space="preserve">The One Rule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Every lead, quote, application, and policy must resolve to exactly one row in the appropriate table — Leads, Quotes, or Policies — tagged to exactly one Client/Household and one Carrier/Product. Every bound policy produces exactly one traceable commission record. No stage is permitted to skip ahead or write outside this path.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2.1 The Canonical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3600"/>
        <w:gridCol w:w="3260"/>
      </w:tblGrid>
      <w:tr>
        <w:trPr>
          <w:tblHeader/>
        </w:trPr>
        <w:tc>
          <w:tcPr>
            <w:tcW w:type="dxa" w:w="6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9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6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System Component</w:t>
            </w:r>
          </w:p>
        </w:tc>
        <w:tc>
          <w:tcPr>
            <w:tcW w:type="dxa" w:w="32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Failure Behavior</w:t>
            </w:r>
          </w:p>
        </w:tc>
      </w:tr>
      <w:tr>
        <w:tc>
          <w:tcPr>
            <w:tcW w:type="dxa" w:w="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Capture</w:t>
            </w:r>
          </w:p>
        </w:tc>
        <w:tc>
          <w:tcPr>
            <w:tcW w:type="dxa" w:w="3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Lead form, referral, cold import, or event scan</w:t>
            </w:r>
          </w:p>
        </w:tc>
        <w:tc>
          <w:tcPr>
            <w:tcW w:type="dxa" w:w="32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Reject incomplete leads missing name + contact method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Score &amp; Route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Lead Scoring Engine (Sec. 4)</w:t>
            </w:r>
          </w:p>
        </w:tc>
        <w:tc>
          <w:tcPr>
            <w:tcW w:type="dxa" w:w="3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Low-score leads go to nurture queue, not immediate quoting</w:t>
            </w:r>
          </w:p>
        </w:tc>
      </w:tr>
      <w:tr>
        <w:tc>
          <w:tcPr>
            <w:tcW w:type="dxa" w:w="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Quote</w:t>
            </w:r>
          </w:p>
        </w:tc>
        <w:tc>
          <w:tcPr>
            <w:tcW w:type="dxa" w:w="3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Multi-Line Quoting Engine (Sec. 5)</w:t>
            </w:r>
          </w:p>
        </w:tc>
        <w:tc>
          <w:tcPr>
            <w:tcW w:type="dxa" w:w="32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Missing required underwriting inputs blocks quote generation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Compare &amp; Present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Quote Comparison across carriers/products</w:t>
            </w:r>
          </w:p>
        </w:tc>
        <w:tc>
          <w:tcPr>
            <w:tcW w:type="dxa" w:w="3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N/A — read-only view of Sec. 5 output</w:t>
            </w:r>
          </w:p>
        </w:tc>
      </w:tr>
      <w:tr>
        <w:tc>
          <w:tcPr>
            <w:tcW w:type="dxa" w:w="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Apply</w:t>
            </w:r>
          </w:p>
        </w:tc>
        <w:tc>
          <w:tcPr>
            <w:tcW w:type="dxa" w:w="3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Application Submission + E-Signature</w:t>
            </w:r>
          </w:p>
        </w:tc>
        <w:tc>
          <w:tcPr>
            <w:tcW w:type="dxa" w:w="32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Incomplete application cannot submit to carrier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Underwrite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Underwriting Status Tracking (carrier-driven)</w:t>
            </w:r>
          </w:p>
        </w:tc>
        <w:tc>
          <w:tcPr>
            <w:tcW w:type="dxa" w:w="3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Declined/rated status routes back to Quoting for re-shop</w:t>
            </w:r>
          </w:p>
        </w:tc>
      </w:tr>
      <w:tr>
        <w:tc>
          <w:tcPr>
            <w:tcW w:type="dxa" w:w="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Bind</w:t>
            </w:r>
          </w:p>
        </w:tc>
        <w:tc>
          <w:tcPr>
            <w:tcW w:type="dxa" w:w="3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Policy created in Policies table, linked to Client/Household</w:t>
            </w:r>
          </w:p>
        </w:tc>
        <w:tc>
          <w:tcPr>
            <w:tcW w:type="dxa" w:w="32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Cannot bind without an approved application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Commission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Commission Calculation (Sec. 6)</w:t>
            </w:r>
          </w:p>
        </w:tc>
        <w:tc>
          <w:tcPr>
            <w:tcW w:type="dxa" w:w="3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Commission cannot post without a linked bound policy_id</w:t>
            </w:r>
          </w:p>
        </w:tc>
      </w:tr>
      <w:tr>
        <w:tc>
          <w:tcPr>
            <w:tcW w:type="dxa" w:w="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Service</w:t>
            </w:r>
          </w:p>
        </w:tc>
        <w:tc>
          <w:tcPr>
            <w:tcW w:type="dxa" w:w="3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Renewals, endorsements, claims, cross-sell alerts</w:t>
            </w:r>
          </w:p>
        </w:tc>
        <w:tc>
          <w:tcPr>
            <w:tcW w:type="dxa" w:w="32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All reference the original policy_id — no orphaned service records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3. Database Schema — Core Tables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3.1 agents /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agent_id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principal | agent | csr | read_only — principal = you today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licensed_lines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array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life | health | property | casualty — drives which quoting modules are visible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3.2 licenses_appointments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license_id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agent_id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state, line_of_authority, license_number, issue_date, expiration_date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varies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One row per state + line combination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ce_credits_completed / ce_credits_required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Drives Compliance Dashboard alerts (Sec. 8)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carrier_appointments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table (1:many)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carrier_id, appointment_date, status — required before quoting that carrier's products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3.3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lead_id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web_form | referral | cold_import | event | client_referral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contact_name / phone / email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varies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Minimum required to save a lead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line_of_interest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life | health | property | casualty | multiple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score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See Sec. 4 scoring logic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stage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new | contacted | quoted | applied | bound | lost | nurture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converted_client_id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(FK, nullable)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Set when lead becomes a client (Sec. 5.4)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3.4 quotes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quote_id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lead_id or client_id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 quote can be run pre- or post-conversion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carrier_id / product_id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line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life | health | property | casualty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underwriting_inputs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JSON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Age, health class, coverage amount, term, address, etc. — schema varies by line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premium_quoted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draft | presented | applied | expired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3.5 clients / households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client_id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household_id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(FK, nullable)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Groups related clients (spouse, dependents) for cross-sell view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converted_from_lead_id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(FK, nullable)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contact_info, date_of_birth, address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varies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3.6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policy_id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client_id / carrier_id / product_id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line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life | health | property | casualty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policy_number, effective_date, term, premium, face_amount_or_coverage_limit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varies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face_amount for life; coverage_limit for P&amp;C/health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active | lapsed | cancelled | renewed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source_quote_id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Traces every bound policy back to its originating quote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3.7 commissions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commission_id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policy_id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Required — no commission exists without a bound policy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agent_id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commission_rate, commission_amount, commission_type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varies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type: first_year | renewal | override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pending | paid | chargeback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chargeback_reason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string, nullable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Set if policy lapses within chargeback period (Sec. 6.3)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3.8 audit_log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log_id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agent_id, action, entity_type, entity_id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varies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create | edit | quote | apply | bind | pay_commission | export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Immutable — append-only, matches Expense IQ security standard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4. Lead Scoring &amp; Pipeline Logic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4.1 Scoring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14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53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Source quality</w:t>
            </w:r>
          </w:p>
        </w:tc>
        <w:tc>
          <w:tcPr>
            <w:tcW w:type="dxa" w:w="1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0.25</w:t>
            </w:r>
          </w:p>
        </w:tc>
        <w:tc>
          <w:tcPr>
            <w:tcW w:type="dxa" w:w="53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Client referral scores highest; cold import scores lowest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Contact responsiveness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0.25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Answered call / replied to message within 24 hrs scores high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Coverage need signal</w:t>
            </w:r>
          </w:p>
        </w:tc>
        <w:tc>
          <w:tcPr>
            <w:tcW w:type="dxa" w:w="1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0.30</w:t>
            </w:r>
          </w:p>
        </w:tc>
        <w:tc>
          <w:tcPr>
            <w:tcW w:type="dxa" w:w="53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Life event triggers (new baby, new home, new business) score high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Budget/timeline fit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0.20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Stated intent to buy within 30 days scores highest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4.2 Pipeline Stages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New → Contacted → Quoted → Applied → Bound (or Lost / Nurture at any stage)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Score ≥ 70: routes to immediate outreach queue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Score 40–69: routes to nurture sequence (drip follow-up)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Score &lt; 40: retained but deprioritized, re-scored on any new activity</w:t>
      </w:r>
    </w:p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5. Multi-Line Quoting Engine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quoting engine's required inputs and output logic differ by line — this is the single biggest architectural difference from a single-line insurance tool.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5.1 Required Inputs by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44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 Underwriting Inputs</w:t>
            </w:r>
          </w:p>
        </w:tc>
        <w:tc>
          <w:tcPr>
            <w:tcW w:type="dxa" w:w="33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Output</w:t>
            </w:r>
          </w:p>
        </w:tc>
      </w:tr>
      <w:tr>
        <w:tc>
          <w:tcPr>
            <w:tcW w:type="dxa" w:w="1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Life</w:t>
            </w:r>
          </w:p>
        </w:tc>
        <w:tc>
          <w:tcPr>
            <w:tcW w:type="dxa" w:w="4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Age, gender, health class/build, tobacco use, coverage amount, term length</w:t>
            </w:r>
          </w:p>
        </w:tc>
        <w:tc>
          <w:tcPr>
            <w:tcW w:type="dxa" w:w="33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Premium by term/whole/UL type, carrier-ranked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Health/Supplemental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Age, ZIP, household size, income (for subsidy est.), pre-existing conditions flag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Plan tier premiums, subsidy estimate if applicable</w:t>
            </w:r>
          </w:p>
        </w:tc>
      </w:tr>
      <w:tr>
        <w:tc>
          <w:tcPr>
            <w:tcW w:type="dxa" w:w="1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Property (P&amp;C - home)</w:t>
            </w:r>
          </w:p>
        </w:tc>
        <w:tc>
          <w:tcPr>
            <w:tcW w:type="dxa" w:w="4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Property address, year built, construction type, coverage limits, claims history</w:t>
            </w:r>
          </w:p>
        </w:tc>
        <w:tc>
          <w:tcPr>
            <w:tcW w:type="dxa" w:w="33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Premium by coverage tier, carrier-ranked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Casualty (P&amp;C - auto)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Driver(s) age/history, vehicle(s), coverage limits, garaging address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Premium by coverage tier, carrier-ranked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5.2 Quote Comparison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Quote Comparison is a read-only view over the quotes table, filtered to a single lead/client, sorted by premium or by carrier rating. It never recalculates — it only displays what Section 5.1 already produced.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5.3 Needs Analysis (Life-specific, expandable to other lines)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dedicated coverage-gap calculator: income replacement need (income × years) + debts + final expenses + future obligations (education, etc.) − existing coverage = recommended additional coverage. This feeds a suggested face amount into the Quoting Engine, it does not bypass it.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5.4 Lead-to-Client Conversion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lead converts to a client record the moment its first application is submitted (Sec. 2.1, Step 5) — not at bind. This ensures applications-in-progress are trackable as client relationships even before a policy is active, without creating a client record for every quote request (which would pollute the CRM with unqualified leads).</w:t>
      </w:r>
    </w:p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6. Commission Calculation &amp; Reconciliation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6.1 Commission Calculation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commission_amount = premium × commission_rate, where commission_rate is looked up from the carrier + product + commission_type (first year vs. renewal vs. override) combination set in Prompt 21's Commission Schedule.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6.2 Statement Reconciliation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When a carrier commission statement is imported (CSV or manual entry), each line is matched against a pending commission record by policy_number + carrier_id. Matches are marked paid; unmatched statement lines are flagged for manual review rather than silently ignored — this catches both underpayments and policies the system doesn't know about yet.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6.3 Chargebacks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a policy lapses or is cancelled within the carrier's chargeback period (carrier-specific, stored on the product record), the linked commission record is flagged chargeback and the amount is deducted from the agent's next statement — never silently rewritten in the original commission record, preserving the audit trail.</w:t>
      </w:r>
    </w:p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7. Compliance Dashboard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Since this platform is built for a producer actively expanding lines and (potentially) states, compliance tracking is a first-class module, not an afterthought.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Tracked Item</w:t>
            </w:r>
          </w:p>
        </w:tc>
        <w:tc>
          <w:tcPr>
            <w:tcW w:type="dxa" w:w="63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Alert Trigger</w:t>
            </w:r>
          </w:p>
        </w:tc>
      </w:tr>
      <w:tr>
        <w:tc>
          <w:tcPr>
            <w:tcW w:type="dxa" w:w="3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License expiration (per state/line)</w:t>
            </w:r>
          </w:p>
        </w:tc>
        <w:tc>
          <w:tcPr>
            <w:tcW w:type="dxa" w:w="63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90, 30, and 7 days before expiration_date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CE credits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Alert if ce_credits_completed &lt; ce_credits_required with under 60 days remaining in the reporting period</w:t>
            </w:r>
          </w:p>
        </w:tc>
      </w:tr>
      <w:tr>
        <w:tc>
          <w:tcPr>
            <w:tcW w:type="dxa" w:w="3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Carrier appointment status</w:t>
            </w:r>
          </w:p>
        </w:tc>
        <w:tc>
          <w:tcPr>
            <w:tcW w:type="dxa" w:w="63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Alert if appointment lapses or carrier requires re-certification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E&amp;O insurance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Alert 30 days before policy expiration if tracked in the system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8. Security &amp; Compliance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67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Encryption in transit / at rest</w:t>
            </w:r>
          </w:p>
        </w:tc>
        <w:tc>
          <w:tcPr>
            <w:tcW w:type="dxa" w:w="67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TLS 1.2+ and AES-256, identical standard to Expense IQ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MFA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Required for principal/agent roles handling client PII and underwriting data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67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Enforced at API layer; client portal users scoped strictly to their own policy/claim records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Data Isolation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Every query scoped by agent_id/agency_id — critical once multi-agent is enabled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Immutable Audit Log</w:t>
            </w:r>
          </w:p>
        </w:tc>
        <w:tc>
          <w:tcPr>
            <w:tcW w:type="dxa" w:w="67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All quote, application, bind, and commission actions logged append-only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PII Handling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SSN/DOB/health data encrypted at the field level, not just at the database level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8F" w:sz="4"/>
              <w:left w:val="single" w:color="E85D8F" w:sz="24"/>
              <w:bottom w:val="single" w:color="E85D8F" w:sz="4"/>
              <w:right w:val="single" w:color="E85D8F" w:sz="4"/>
            </w:tcBorders>
            <w:shd w:fill="FD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A1E"/>
                <w:sz w:val="21"/>
                <w:szCs w:val="21"/>
              </w:rPr>
              <w:t xml:space="preserve">Note on Client Portal Security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The client portal (Phase 5) introduces external, non-employee logins for the first time in this platform. Its permission scope must be the narrowest in the system — a client can see and act on only their own household's policies and claims, never agent-side pipeline, commission, or other clients' data.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9. How This Document Should Be Used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Hand this document, together with the Master Prompt Architecture diagram, to the developer or AI coding agent as the combined spec.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Phase 1 (Foundation and Compliance) and Phase 2 (Lead Generation and Quoting) first — with no existing book of business, the platform's first job is generating one.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5 (Client Portal) should not be built until Phase 3 has real policies in it — a portal with nothing to show a client is wasted effort at this stage.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is a living specification — as licensing expands into new lines or states, Section 3 (schema) and Section 7 (compliance) are the two sections that will need the most updates.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Prompt 31 (“AI Assistant” in the diagram) is Gigi — embed her via the separate GG AI Concierge™ specification rather than building a local assistant here. That document defines her persona, voice, and escalation logic once, for all BFF platforms.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D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A1E"/>
                <w:sz w:val="21"/>
                <w:szCs w:val="21"/>
              </w:rPr>
              <w:t xml:space="preserve">Brand &amp; UX Note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Build using BFF's brand palette — Forest Green #1B4332, Metallic Gold #C9A227, Hot Pink #E85D8F — consistent with Expense IQ and the rest of the BFF product family, so the whole suite feels like one company.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4"/>
      </w:pBd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BFF Insurance Solutions™ Technical Specification — BFF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2026-07-31T18:12:02.303Z</dcterms:created>
  <dcterms:modified xsi:type="dcterms:W3CDTF">2026-07-31T18:12:02.303Z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