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C9A227"/>
          <w:sz w:val="24"/>
          <w:szCs w:val="24"/>
        </w:rPr>
        <w:t xml:space="preserve">BEST FACE FORWARD CONSULTANTS, LLC</w:t>
      </w:r>
    </w:p>
    <w:p>
      <w:pPr>
        <w:spacing w:after="400"/>
        <w:jc w:val="center"/>
      </w:pPr>
      <w:r>
        <w:rPr>
          <w:rFonts w:ascii="Calibri" w:cs="Calibri" w:eastAsia="Calibri" w:hAnsi="Calibri"/>
          <w:color w:val="0F2A1E"/>
          <w:sz w:val="20"/>
          <w:szCs w:val="20"/>
        </w:rPr>
        <w:t xml:space="preserve">BFF Logistics Division — Property Preservation</w:t>
      </w:r>
    </w:p>
    <w:p>
      <w:pPr>
        <w:spacing w:after="200"/>
        <w:jc w:val="center"/>
      </w:pPr>
      <w:r>
        <w:rPr>
          <w:rFonts w:ascii="Calibri" w:cs="Calibri" w:eastAsia="Calibri" w:hAnsi="Calibri"/>
          <w:b/>
          <w:bCs/>
          <w:color w:val="1B4332"/>
          <w:sz w:val="50"/>
          <w:szCs w:val="50"/>
        </w:rPr>
        <w:t xml:space="preserve">BFF LOGISTICS™</w:t>
      </w:r>
    </w:p>
    <w:p>
      <w:pPr>
        <w:spacing w:after="500"/>
        <w:jc w:val="center"/>
      </w:pPr>
      <w:r>
        <w:rPr>
          <w:rFonts w:ascii="Calibri" w:cs="Calibri" w:eastAsia="Calibri" w:hAnsi="Calibri"/>
          <w:b/>
          <w:bCs/>
          <w:color w:val="E85D8F"/>
          <w:sz w:val="26"/>
          <w:szCs w:val="26"/>
        </w:rPr>
        <w:t xml:space="preserve">Technical Specification &amp; System Integration Document</w:t>
      </w:r>
    </w:p>
    <w:p>
      <w:pPr>
        <w:spacing w:after="100"/>
        <w:jc w:val="center"/>
      </w:pPr>
      <w:r>
        <w:rPr>
          <w:rFonts w:ascii="Calibri" w:cs="Calibri" w:eastAsia="Calibri" w:hAnsi="Calibri"/>
          <w:i/>
          <w:iCs/>
          <w:color w:val="999999"/>
          <w:sz w:val="20"/>
          <w:szCs w:val="20"/>
        </w:rPr>
        <w:t xml:space="preserve">From Work Order to Compliant, Paid Completion — Across Five States</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24"/>
              <w:bottom w:val="single" w:color="C9A227" w:sz="4"/>
              <w:right w:val="single" w:color="C9A227"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What This Document Is</w:t>
            </w:r>
          </w:p>
          <w:p>
            <w:r>
              <w:rPr>
                <w:rFonts w:ascii="Calibri" w:cs="Calibri" w:eastAsia="Calibri" w:hAnsi="Calibri"/>
                <w:color w:val="222222"/>
                <w:sz w:val="20"/>
                <w:szCs w:val="20"/>
              </w:rPr>
              <w:t xml:space="preserve">This is the working engineering specification for BFF Logistics™ — a property preservation field services platform covering a multi-state territory (VA, PA, MD, WV, NJ), solo-ready today with architecture built to scale to a network of field techs. It defines the exact data fields, decision logic, and posting rules a developer or AI coding agent needs to implement it correctly — with particular attention to the compliance documentation that determines whether work actually gets paid.</w:t>
            </w:r>
          </w:p>
        </w:tc>
      </w:tr>
    </w:tbl>
    <w:p>
      <w:pPr>
        <w:spacing w:after="300"/>
      </w:pPr>
    </w:p>
    <w:p>
      <w:pPr>
        <w:spacing w:after="40"/>
        <w:jc w:val="center"/>
      </w:pPr>
      <w:r>
        <w:rPr>
          <w:rFonts w:ascii="Calibri" w:cs="Calibri" w:eastAsia="Calibri" w:hAnsi="Calibri"/>
          <w:color w:val="222222"/>
          <w:sz w:val="20"/>
          <w:szCs w:val="20"/>
        </w:rPr>
        <w:t xml:space="preserve">Prepared for: Best Face Forward Consultants, LLC</w:t>
      </w:r>
    </w:p>
    <w:p>
      <w:pPr>
        <w:spacing w:after="40"/>
        <w:jc w:val="center"/>
      </w:pPr>
      <w:r>
        <w:rPr>
          <w:rFonts w:ascii="Calibri" w:cs="Calibri" w:eastAsia="Calibri" w:hAnsi="Calibri"/>
          <w:color w:val="222222"/>
          <w:sz w:val="20"/>
          <w:szCs w:val="20"/>
        </w:rPr>
        <w:t xml:space="preserve">Prepared by: Jameal Clark, Founder &amp; Principal Consultant</w:t>
      </w:r>
    </w:p>
    <w:p>
      <w:pPr>
        <w:jc w:val="center"/>
      </w:pPr>
      <w:r>
        <w:rPr>
          <w:rFonts w:ascii="Calibri" w:cs="Calibri" w:eastAsia="Calibri" w:hAnsi="Calibri"/>
          <w:color w:val="999999"/>
          <w:sz w:val="20"/>
          <w:szCs w:val="20"/>
        </w:rPr>
        <w:t xml:space="preserve">Version 1.0 — July 2026</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1. Executive Summary &amp; Scope Confirmation</w:t>
      </w:r>
    </w:p>
    <w:p>
      <w:pPr>
        <w:spacing w:after="160" w:line="276"/>
      </w:pPr>
      <w:r>
        <w:rPr>
          <w:rFonts w:ascii="Calibri" w:cs="Calibri" w:eastAsia="Calibri" w:hAnsi="Calibri"/>
          <w:color w:val="222222"/>
          <w:sz w:val="21"/>
          <w:szCs w:val="21"/>
        </w:rPr>
        <w:t xml:space="preserve">Property preservation is unlike the other three BFF platforms in one critical way: the work happens in the field, not at a desk, and payment is conditional on documentation — a completed job with missing or non-compliant photos is functionally unpaid work. This platform's entire architecture exists to protect that documentation chain across a five-state territory.</w:t>
      </w:r>
    </w:p>
    <w:p>
      <w:pPr>
        <w:pStyle w:val="Heading2"/>
        <w:spacing w:after="140" w:before="320"/>
      </w:pPr>
      <w:r>
        <w:rPr>
          <w:rFonts w:ascii="Calibri" w:cs="Calibri" w:eastAsia="Calibri" w:hAnsi="Calibri"/>
          <w:b/>
          <w:bCs/>
          <w:color w:val="0F2A1E"/>
          <w:sz w:val="26"/>
          <w:szCs w:val="26"/>
        </w:rPr>
        <w:t xml:space="preserve">1.1 Confirmed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Dimension</w:t>
            </w:r>
          </w:p>
        </w:tc>
        <w:tc>
          <w:tcPr>
            <w:tcW w:type="dxa" w:w="6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Confirmed Scope</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Core purpose</w:t>
            </w:r>
          </w:p>
        </w:tc>
        <w:tc>
          <w:tcPr>
            <w:tcW w:type="dxa" w:w="6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Property preservation field services — inspections, initial secures, lawn maintenance, winterizations, debris removal, and related work order types</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Territory</w:t>
            </w:r>
          </w:p>
        </w:tc>
        <w:tc>
          <w:tcPr>
            <w:tcW w:type="dxa" w:w="6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Virginia, Pennsylvania, Maryland, West Virginia, New Jersey</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Primary users</w:t>
            </w:r>
          </w:p>
        </w:tc>
        <w:tc>
          <w:tcPr>
            <w:tcW w:type="dxa" w:w="6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Solo field coordinator today; architecture scales to a network of field techs/subcontractors</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Client base</w:t>
            </w:r>
          </w:p>
        </w:tc>
        <w:tc>
          <w:tcPr>
            <w:tcW w:type="dxa" w:w="6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Mixed — existing property preservation companies/banks/asset managers plus new client acquisition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8F" w:sz="4"/>
              <w:left w:val="single" w:color="E85D8F" w:sz="24"/>
              <w:bottom w:val="single" w:color="E85D8F" w:sz="4"/>
              <w:right w:val="single" w:color="E85D8F"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Non-Negotiable Design Rule</w:t>
            </w:r>
          </w:p>
          <w:p>
            <w:r>
              <w:rPr>
                <w:rFonts w:ascii="Calibri" w:cs="Calibri" w:eastAsia="Calibri" w:hAnsi="Calibri"/>
                <w:color w:val="222222"/>
                <w:sz w:val="20"/>
                <w:szCs w:val="20"/>
              </w:rPr>
              <w:t xml:space="preserve">A work order cannot move to 'completed' status without passing its compliance checklist and photo documentation requirements. A field tech finishing the physical work is necessary but not sufficient — undocumented work is, from a billing and compliance standpoint, unfinished work.</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2. Work Order Lifecycle — Intake to Paid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24"/>
              <w:bottom w:val="single" w:color="1B4332" w:sz="4"/>
              <w:right w:val="single" w:color="1B4332"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The One Rule</w:t>
            </w:r>
          </w:p>
          <w:p>
            <w:r>
              <w:rPr>
                <w:rFonts w:ascii="Calibri" w:cs="Calibri" w:eastAsia="Calibri" w:hAnsi="Calibri"/>
                <w:color w:val="222222"/>
                <w:sz w:val="20"/>
                <w:szCs w:val="20"/>
              </w:rPr>
              <w:t xml:space="preserve">Every work order resolves to exactly one property, one client, and one assigned field tech. It cannot be invoiced until it has passed QC review against its compliance checklist. No shortcut is permitted that invoices a work order directly from field completion, skipping QC.</w:t>
            </w:r>
          </w:p>
        </w:tc>
      </w:tr>
    </w:tbl>
    <w:p>
      <w:pPr>
        <w:spacing w:after="120"/>
      </w:pPr>
    </w:p>
    <w:p>
      <w:pPr>
        <w:pStyle w:val="Heading2"/>
        <w:spacing w:after="140" w:before="320"/>
      </w:pPr>
      <w:r>
        <w:rPr>
          <w:rFonts w:ascii="Calibri" w:cs="Calibri" w:eastAsia="Calibri" w:hAnsi="Calibri"/>
          <w:b/>
          <w:bCs/>
          <w:color w:val="0F2A1E"/>
          <w:sz w:val="26"/>
          <w:szCs w:val="26"/>
        </w:rPr>
        <w:t xml:space="preserve">2.1 The Canonical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460"/>
      </w:tblGrid>
      <w:tr>
        <w:trPr>
          <w:tblHeader/>
        </w:trPr>
        <w:tc>
          <w:tcPr>
            <w:tcW w:type="dxa" w:w="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Step</w:t>
            </w:r>
          </w:p>
        </w:tc>
        <w:tc>
          <w:tcPr>
            <w:tcW w:type="dxa" w:w="33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Action</w:t>
            </w:r>
          </w:p>
        </w:tc>
        <w:tc>
          <w:tcPr>
            <w:tcW w:type="dxa" w:w="54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Failure Behavior</w:t>
            </w:r>
          </w:p>
        </w:tc>
      </w:tr>
      <w:tr>
        <w:tc>
          <w:tcPr>
            <w:tcW w:type="dxa" w:w="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1</w:t>
            </w:r>
          </w:p>
        </w:tc>
        <w:tc>
          <w:tcPr>
            <w:tcW w:type="dxa" w:w="33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Work order received (client portal, email, or API)</w:t>
            </w:r>
          </w:p>
        </w:tc>
        <w:tc>
          <w:tcPr>
            <w:tcW w:type="dxa" w:w="54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Missing property address or service type blocks intake</w:t>
            </w:r>
          </w:p>
        </w:tc>
      </w:tr>
      <w:tr>
        <w:tc>
          <w:tcPr>
            <w:tcW w:type="dxa" w:w="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2</w:t>
            </w:r>
          </w:p>
        </w:tc>
        <w:tc>
          <w:tcPr>
            <w:tcW w:type="dxa" w:w="33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Classified against service catalog, priority/deadline assigned</w:t>
            </w:r>
          </w:p>
        </w:tc>
        <w:tc>
          <w:tcPr>
            <w:tcW w:type="dxa" w:w="54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Unrecognized service type routes to manual classification, not auto-dispatch</w:t>
            </w:r>
          </w:p>
        </w:tc>
      </w:tr>
      <w:tr>
        <w:tc>
          <w:tcPr>
            <w:tcW w:type="dxa" w:w="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3</w:t>
            </w:r>
          </w:p>
        </w:tc>
        <w:tc>
          <w:tcPr>
            <w:tcW w:type="dxa" w:w="33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Dispatched to a field tech by territory/ZIP coverage</w:t>
            </w:r>
          </w:p>
        </w:tc>
        <w:tc>
          <w:tcPr>
            <w:tcW w:type="dxa" w:w="54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No available tech in territory flags for manual reassignment or subcontractor lookup</w:t>
            </w:r>
          </w:p>
        </w:tc>
      </w:tr>
      <w:tr>
        <w:tc>
          <w:tcPr>
            <w:tcW w:type="dxa" w:w="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4</w:t>
            </w:r>
          </w:p>
        </w:tc>
        <w:tc>
          <w:tcPr>
            <w:tcW w:type="dxa" w:w="33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Bid submitted if required, awaiting client approval</w:t>
            </w:r>
          </w:p>
        </w:tc>
        <w:tc>
          <w:tcPr>
            <w:tcW w:type="dxa" w:w="54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Work cannot begin on bid-required orders until approval is recorded</w:t>
            </w:r>
          </w:p>
        </w:tc>
      </w:tr>
      <w:tr>
        <w:tc>
          <w:tcPr>
            <w:tcW w:type="dxa" w:w="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5</w:t>
            </w:r>
          </w:p>
        </w:tc>
        <w:tc>
          <w:tcPr>
            <w:tcW w:type="dxa" w:w="33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Field tech accepts, performs work, documents per checklist (Sec. 3)</w:t>
            </w:r>
          </w:p>
        </w:tc>
        <w:tc>
          <w:tcPr>
            <w:tcW w:type="dxa" w:w="54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Incomplete checklist blocks submission for QC</w:t>
            </w:r>
          </w:p>
        </w:tc>
      </w:tr>
      <w:tr>
        <w:tc>
          <w:tcPr>
            <w:tcW w:type="dxa" w:w="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6</w:t>
            </w:r>
          </w:p>
        </w:tc>
        <w:tc>
          <w:tcPr>
            <w:tcW w:type="dxa" w:w="33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QC review against compliance checklist (Sec. 4)</w:t>
            </w:r>
          </w:p>
        </w:tc>
        <w:tc>
          <w:tcPr>
            <w:tcW w:type="dxa" w:w="54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Failed QC returns to field tech as rework, does not proceed to invoicing</w:t>
            </w:r>
          </w:p>
        </w:tc>
      </w:tr>
      <w:tr>
        <w:tc>
          <w:tcPr>
            <w:tcW w:type="dxa" w:w="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7</w:t>
            </w:r>
          </w:p>
        </w:tc>
        <w:tc>
          <w:tcPr>
            <w:tcW w:type="dxa" w:w="33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Invoice line item generated from the QC-approved work order</w:t>
            </w:r>
          </w:p>
        </w:tc>
        <w:tc>
          <w:tcPr>
            <w:tcW w:type="dxa" w:w="54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Cannot invoice a work order that hasn't passed QC</w:t>
            </w:r>
          </w:p>
        </w:tc>
      </w:tr>
      <w:tr>
        <w:tc>
          <w:tcPr>
            <w:tcW w:type="dxa" w:w="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8</w:t>
            </w:r>
          </w:p>
        </w:tc>
        <w:tc>
          <w:tcPr>
            <w:tcW w:type="dxa" w:w="33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Field tech payout calculated from the same approved work order</w:t>
            </w:r>
          </w:p>
        </w:tc>
        <w:tc>
          <w:tcPr>
            <w:tcW w:type="dxa" w:w="54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Payout traces to work_order_id, same source as the client invoice</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3. Database Schema — Core Tables</w:t>
      </w:r>
    </w:p>
    <w:p>
      <w:pPr>
        <w:pStyle w:val="Heading2"/>
        <w:spacing w:after="140" w:before="320"/>
      </w:pPr>
      <w:r>
        <w:rPr>
          <w:rFonts w:ascii="Calibri" w:cs="Calibri" w:eastAsia="Calibri" w:hAnsi="Calibri"/>
          <w:b/>
          <w:bCs/>
          <w:color w:val="0F2A1E"/>
          <w:sz w:val="26"/>
          <w:szCs w:val="26"/>
        </w:rPr>
        <w:t xml:space="preserve">3.1 field_techs / territories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tech_id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role</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coordinator | employee_tech | subcontractor</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covered_territories</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table (1:many)</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state, counties/ZIPs covered — drives dispatch matching (Sec. 2.1 Step 3)</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insurance_expiration, license_info</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Required current before a subcontractor can be assigned work (Sec. 5.4)</w:t>
            </w:r>
          </w:p>
        </w:tc>
      </w:tr>
    </w:tbl>
    <w:p>
      <w:pPr>
        <w:spacing w:after="120"/>
      </w:pPr>
    </w:p>
    <w:p>
      <w:pPr>
        <w:pStyle w:val="Heading2"/>
        <w:spacing w:after="140" w:before="320"/>
      </w:pPr>
      <w:r>
        <w:rPr>
          <w:rFonts w:ascii="Calibri" w:cs="Calibri" w:eastAsia="Calibri" w:hAnsi="Calibri"/>
          <w:b/>
          <w:bCs/>
          <w:color w:val="0F2A1E"/>
          <w:sz w:val="26"/>
          <w:szCs w:val="26"/>
        </w:rPr>
        <w:t xml:space="preserve">3.2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client_id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client_type</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preservation_company | bank | asset_manager | investor_direct</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pricing_schedule_id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Points to that client's specific line-item pricing (Sec. 6.1) — pricing varies significantly by client in this industry</w:t>
            </w:r>
          </w:p>
        </w:tc>
      </w:tr>
    </w:tbl>
    <w:p>
      <w:pPr>
        <w:spacing w:after="120"/>
      </w:pPr>
    </w:p>
    <w:p>
      <w:pPr>
        <w:pStyle w:val="Heading2"/>
        <w:spacing w:after="140" w:before="320"/>
      </w:pPr>
      <w:r>
        <w:rPr>
          <w:rFonts w:ascii="Calibri" w:cs="Calibri" w:eastAsia="Calibri" w:hAnsi="Calibri"/>
          <w:b/>
          <w:bCs/>
          <w:color w:val="0F2A1E"/>
          <w:sz w:val="26"/>
          <w:szCs w:val="26"/>
        </w:rPr>
        <w:t xml:space="preserve">3.3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property_id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address, state, county</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State drives which investor guideline set applies (Sec. 4.1)</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loan_number, investor</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FHA/HUD, Fannie Mae, Freddie Mac, or conventional — drives compliance checklist selection</w:t>
            </w:r>
          </w:p>
        </w:tc>
      </w:tr>
    </w:tbl>
    <w:p>
      <w:pPr>
        <w:spacing w:after="120"/>
      </w:pPr>
    </w:p>
    <w:p>
      <w:pPr>
        <w:pStyle w:val="Heading2"/>
        <w:spacing w:after="140" w:before="320"/>
      </w:pPr>
      <w:r>
        <w:rPr>
          <w:rFonts w:ascii="Calibri" w:cs="Calibri" w:eastAsia="Calibri" w:hAnsi="Calibri"/>
          <w:b/>
          <w:bCs/>
          <w:color w:val="0F2A1E"/>
          <w:sz w:val="26"/>
          <w:szCs w:val="26"/>
        </w:rPr>
        <w:t xml:space="preserve">3.4 work_orders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work_order_id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property_id / client_id / assigned_tech_id</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service_type</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inspection | initial_secure | lawn_maintenance | winterization | debris_removal | lock_change | boarding | other</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priority</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standard | rush | emergency</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due_date</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date</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Drives Sec. 4.3 deadline compliance tracking</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bid_required</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boolean</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If true, requires client approval before status can move past 'assigned'</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status</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received | classified | assigned | bid_pending | in_progress | submitted_for_qc | qc_approved | qc_rejected | invoiced | closed</w:t>
            </w:r>
          </w:p>
        </w:tc>
      </w:tr>
    </w:tbl>
    <w:p>
      <w:pPr>
        <w:spacing w:after="120"/>
      </w:pPr>
    </w:p>
    <w:p>
      <w:pPr>
        <w:pStyle w:val="Heading2"/>
        <w:spacing w:after="140" w:before="320"/>
      </w:pPr>
      <w:r>
        <w:rPr>
          <w:rFonts w:ascii="Calibri" w:cs="Calibri" w:eastAsia="Calibri" w:hAnsi="Calibri"/>
          <w:b/>
          <w:bCs/>
          <w:color w:val="0F2A1E"/>
          <w:sz w:val="26"/>
          <w:szCs w:val="26"/>
        </w:rPr>
        <w:t xml:space="preserve">3.5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photo_id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work_order_id</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photo_type</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before | after | damage_documentation | compliance_evidence</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gps_lat, gps_lng, captured_at</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Required metadata — photos without GPS/timestamp fail QC automatically (Sec. 4.2)</w:t>
            </w:r>
          </w:p>
        </w:tc>
      </w:tr>
    </w:tbl>
    <w:p>
      <w:pPr>
        <w:spacing w:after="120"/>
      </w:pPr>
    </w:p>
    <w:p>
      <w:pPr>
        <w:pStyle w:val="Heading2"/>
        <w:spacing w:after="140" w:before="320"/>
      </w:pPr>
      <w:r>
        <w:rPr>
          <w:rFonts w:ascii="Calibri" w:cs="Calibri" w:eastAsia="Calibri" w:hAnsi="Calibri"/>
          <w:b/>
          <w:bCs/>
          <w:color w:val="0F2A1E"/>
          <w:sz w:val="26"/>
          <w:szCs w:val="26"/>
        </w:rPr>
        <w:t xml:space="preserve">3.6 compliance_checklists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checklist_id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work_order_id / guideline_set</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guideline_set: fha_hud | fannie_mae | freddie_mac | client_specific</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checklist_items</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table (1:many)</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item_description, required_photo_type, completed (boolean)</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qc_status</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pending | approved | rejected</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qc_rejection_reason</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string, nullable</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bl>
    <w:p>
      <w:pPr>
        <w:spacing w:after="120"/>
      </w:pPr>
    </w:p>
    <w:p>
      <w:pPr>
        <w:pStyle w:val="Heading2"/>
        <w:spacing w:after="140" w:before="320"/>
      </w:pPr>
      <w:r>
        <w:rPr>
          <w:rFonts w:ascii="Calibri" w:cs="Calibri" w:eastAsia="Calibri" w:hAnsi="Calibri"/>
          <w:b/>
          <w:bCs/>
          <w:color w:val="0F2A1E"/>
          <w:sz w:val="26"/>
          <w:szCs w:val="26"/>
        </w:rPr>
        <w:t xml:space="preserve">3.7 invoices / payouts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invoice_id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work_order_id</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Required — an invoice line item cannot exist without a QC-approved work order</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payout_id / tech_id / work_order_id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Payout always traces to the same work order as its corresponding invoice line</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chargeback_amount, chargeback_reason</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 nullable</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Set if a client charges back for missed deadline or QC failure discovered post-invoice (Sec. 4.5)</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4. Compliance &amp; Quality Control Logic</w:t>
      </w:r>
    </w:p>
    <w:p>
      <w:pPr>
        <w:pStyle w:val="Heading2"/>
        <w:spacing w:after="140" w:before="320"/>
      </w:pPr>
      <w:r>
        <w:rPr>
          <w:rFonts w:ascii="Calibri" w:cs="Calibri" w:eastAsia="Calibri" w:hAnsi="Calibri"/>
          <w:b/>
          <w:bCs/>
          <w:color w:val="0F2A1E"/>
          <w:sz w:val="26"/>
          <w:szCs w:val="26"/>
        </w:rPr>
        <w:t xml:space="preserve">4.1 Investor Guideline Selection</w:t>
      </w:r>
    </w:p>
    <w:p>
      <w:pPr>
        <w:spacing w:after="160" w:line="276"/>
      </w:pPr>
      <w:r>
        <w:rPr>
          <w:rFonts w:ascii="Calibri" w:cs="Calibri" w:eastAsia="Calibri" w:hAnsi="Calibri"/>
          <w:color w:val="222222"/>
          <w:sz w:val="21"/>
          <w:szCs w:val="21"/>
        </w:rPr>
        <w:t xml:space="preserve">The compliance checklist applied to a work order is determined by the property's investor (FHA/HUD, Fannie Mae, Freddie Mac) or the client's own specific requirements when they exceed investor minimums. This selection happens automatically at work order classification (Sec. 2.1 Step 2), not left to the field tech to figure out.</w:t>
      </w:r>
    </w:p>
    <w:p>
      <w:pPr>
        <w:pStyle w:val="Heading2"/>
        <w:spacing w:after="140" w:before="320"/>
      </w:pPr>
      <w:r>
        <w:rPr>
          <w:rFonts w:ascii="Calibri" w:cs="Calibri" w:eastAsia="Calibri" w:hAnsi="Calibri"/>
          <w:b/>
          <w:bCs/>
          <w:color w:val="0F2A1E"/>
          <w:sz w:val="26"/>
          <w:szCs w:val="26"/>
        </w:rPr>
        <w:t xml:space="preserve">4.2 Photo QC Rules</w:t>
      </w:r>
    </w:p>
    <w:p>
      <w:pPr>
        <w:pStyle w:val="ListParagraph"/>
        <w:numPr>
          <w:ilvl w:val="0"/>
          <w:numId w:val="1"/>
        </w:numPr>
        <w:spacing w:after="80"/>
        <w:ind w:left="360"/>
      </w:pPr>
      <w:r>
        <w:rPr>
          <w:rFonts w:ascii="Calibri" w:cs="Calibri" w:eastAsia="Calibri" w:hAnsi="Calibri"/>
          <w:color w:val="222222"/>
          <w:sz w:val="21"/>
          <w:szCs w:val="21"/>
        </w:rPr>
        <w:t xml:space="preserve">Every checklist item requiring photo evidence must have a photo record with a matching photo_type</w:t>
      </w:r>
    </w:p>
    <w:p>
      <w:pPr>
        <w:pStyle w:val="ListParagraph"/>
        <w:numPr>
          <w:ilvl w:val="0"/>
          <w:numId w:val="1"/>
        </w:numPr>
        <w:spacing w:after="80"/>
        <w:ind w:left="360"/>
      </w:pPr>
      <w:r>
        <w:rPr>
          <w:rFonts w:ascii="Calibri" w:cs="Calibri" w:eastAsia="Calibri" w:hAnsi="Calibri"/>
          <w:color w:val="222222"/>
          <w:sz w:val="21"/>
          <w:szCs w:val="21"/>
        </w:rPr>
        <w:t xml:space="preserve">Photos missing GPS coordinates or timestamp metadata fail QC automatically — this is a common industry chargeback trigger and the system should catch it before the client does</w:t>
      </w:r>
    </w:p>
    <w:p>
      <w:pPr>
        <w:pStyle w:val="ListParagraph"/>
        <w:numPr>
          <w:ilvl w:val="0"/>
          <w:numId w:val="1"/>
        </w:numPr>
        <w:spacing w:after="80"/>
        <w:ind w:left="360"/>
      </w:pPr>
      <w:r>
        <w:rPr>
          <w:rFonts w:ascii="Calibri" w:cs="Calibri" w:eastAsia="Calibri" w:hAnsi="Calibri"/>
          <w:color w:val="222222"/>
          <w:sz w:val="21"/>
          <w:szCs w:val="21"/>
        </w:rPr>
        <w:t xml:space="preserve">Before/after pairs are required for any service type that alters property condition (lawn maintenance, debris removal, boarding); inspections require documentation photos but not necessarily before/after pairs</w:t>
      </w:r>
    </w:p>
    <w:p>
      <w:pPr>
        <w:spacing w:after="120"/>
      </w:pPr>
    </w:p>
    <w:p>
      <w:pPr>
        <w:pStyle w:val="Heading2"/>
        <w:spacing w:after="140" w:before="320"/>
      </w:pPr>
      <w:r>
        <w:rPr>
          <w:rFonts w:ascii="Calibri" w:cs="Calibri" w:eastAsia="Calibri" w:hAnsi="Calibri"/>
          <w:b/>
          <w:bCs/>
          <w:color w:val="0F2A1E"/>
          <w:sz w:val="26"/>
          <w:szCs w:val="26"/>
        </w:rPr>
        <w:t xml:space="preserve">4.3 Deadline Compliance</w:t>
      </w:r>
    </w:p>
    <w:p>
      <w:pPr>
        <w:spacing w:after="160" w:line="276"/>
      </w:pPr>
      <w:r>
        <w:rPr>
          <w:rFonts w:ascii="Calibri" w:cs="Calibri" w:eastAsia="Calibri" w:hAnsi="Calibri"/>
          <w:color w:val="222222"/>
          <w:sz w:val="21"/>
          <w:szCs w:val="21"/>
        </w:rPr>
        <w:t xml:space="preserve">Many property preservation work order types carry strict deadlines (e.g., initial secure within 24–48 hours of order receipt, common across investor guidelines). The due_date field drives both dispatch prioritization and a countdown visible to the assigned field tech — orders approaching deadline should surface before those with more runway, regardless of when they were received.</w:t>
      </w:r>
    </w:p>
    <w:p>
      <w:pPr>
        <w:spacing w:after="120"/>
      </w:pPr>
    </w:p>
    <w:p>
      <w:pPr>
        <w:pStyle w:val="Heading2"/>
        <w:spacing w:after="140" w:before="320"/>
      </w:pPr>
      <w:r>
        <w:rPr>
          <w:rFonts w:ascii="Calibri" w:cs="Calibri" w:eastAsia="Calibri" w:hAnsi="Calibri"/>
          <w:b/>
          <w:bCs/>
          <w:color w:val="0F2A1E"/>
          <w:sz w:val="26"/>
          <w:szCs w:val="26"/>
        </w:rPr>
        <w:t xml:space="preserve">4.4 Rework Handling</w:t>
      </w:r>
    </w:p>
    <w:p>
      <w:pPr>
        <w:spacing w:after="160" w:line="276"/>
      </w:pPr>
      <w:r>
        <w:rPr>
          <w:rFonts w:ascii="Calibri" w:cs="Calibri" w:eastAsia="Calibri" w:hAnsi="Calibri"/>
          <w:color w:val="222222"/>
          <w:sz w:val="21"/>
          <w:szCs w:val="21"/>
        </w:rPr>
        <w:t xml:space="preserve">A QC rejection returns the work order to in_progress status with the qc_rejection_reason attached, not back to the beginning of the pipeline. The field tech sees exactly what failed and re-submits only the missing/corrected documentation, not the entire job.</w:t>
      </w:r>
    </w:p>
    <w:p>
      <w:pPr>
        <w:spacing w:after="120"/>
      </w:pPr>
    </w:p>
    <w:p>
      <w:pPr>
        <w:pStyle w:val="Heading2"/>
        <w:spacing w:after="140" w:before="320"/>
      </w:pPr>
      <w:r>
        <w:rPr>
          <w:rFonts w:ascii="Calibri" w:cs="Calibri" w:eastAsia="Calibri" w:hAnsi="Calibri"/>
          <w:b/>
          <w:bCs/>
          <w:color w:val="0F2A1E"/>
          <w:sz w:val="26"/>
          <w:szCs w:val="26"/>
        </w:rPr>
        <w:t xml:space="preserve">4.5 Chargebacks</w:t>
      </w:r>
    </w:p>
    <w:p>
      <w:pPr>
        <w:spacing w:after="160" w:line="276"/>
      </w:pPr>
      <w:r>
        <w:rPr>
          <w:rFonts w:ascii="Calibri" w:cs="Calibri" w:eastAsia="Calibri" w:hAnsi="Calibri"/>
          <w:color w:val="222222"/>
          <w:sz w:val="21"/>
          <w:szCs w:val="21"/>
        </w:rPr>
        <w:t xml:space="preserve">If a client charges back a completed, invoiced work order (for a missed deadline discovered later, or a compliance issue found in their own audit), the chargeback is recorded against the original work_order_id and invoice_id — never as a silent adjustment to a new invoice, preserving the audit trail for dispute resolution.</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5. Field Execution &amp; Dispatch Logic</w:t>
      </w:r>
    </w:p>
    <w:p>
      <w:pPr>
        <w:pStyle w:val="Heading2"/>
        <w:spacing w:after="140" w:before="320"/>
      </w:pPr>
      <w:r>
        <w:rPr>
          <w:rFonts w:ascii="Calibri" w:cs="Calibri" w:eastAsia="Calibri" w:hAnsi="Calibri"/>
          <w:b/>
          <w:bCs/>
          <w:color w:val="0F2A1E"/>
          <w:sz w:val="26"/>
          <w:szCs w:val="26"/>
        </w:rPr>
        <w:t xml:space="preserve">5.1 Territory-Based Dispatch</w:t>
      </w:r>
    </w:p>
    <w:p>
      <w:pPr>
        <w:spacing w:after="160" w:line="276"/>
      </w:pPr>
      <w:r>
        <w:rPr>
          <w:rFonts w:ascii="Calibri" w:cs="Calibri" w:eastAsia="Calibri" w:hAnsi="Calibri"/>
          <w:color w:val="222222"/>
          <w:sz w:val="21"/>
          <w:szCs w:val="21"/>
        </w:rPr>
        <w:t xml:space="preserve">Work orders route to field techs based on covered_territories matching the property's ZIP/county. If no tech covers that territory, the order flags for manual reassignment or subcontractor sourcing rather than sitting unassigned.</w:t>
      </w:r>
    </w:p>
    <w:p>
      <w:pPr>
        <w:pStyle w:val="Heading2"/>
        <w:spacing w:after="140" w:before="320"/>
      </w:pPr>
      <w:r>
        <w:rPr>
          <w:rFonts w:ascii="Calibri" w:cs="Calibri" w:eastAsia="Calibri" w:hAnsi="Calibri"/>
          <w:b/>
          <w:bCs/>
          <w:color w:val="0F2A1E"/>
          <w:sz w:val="26"/>
          <w:szCs w:val="26"/>
        </w:rPr>
        <w:t xml:space="preserve">5.2 Mobile Field Checklist</w:t>
      </w:r>
    </w:p>
    <w:p>
      <w:pPr>
        <w:spacing w:after="160" w:line="276"/>
      </w:pPr>
      <w:r>
        <w:rPr>
          <w:rFonts w:ascii="Calibri" w:cs="Calibri" w:eastAsia="Calibri" w:hAnsi="Calibri"/>
          <w:color w:val="222222"/>
          <w:sz w:val="21"/>
          <w:szCs w:val="21"/>
        </w:rPr>
        <w:t xml:space="preserve">Each service_type has its own checklist template (Sec. 3.6) that the field tech works through in the mobile interface — the checklist itself is what generates the photo and documentation requirements checked at QC, so the field tech is never guessing what evidence is needed.</w:t>
      </w:r>
    </w:p>
    <w:p>
      <w:pPr>
        <w:pStyle w:val="Heading2"/>
        <w:spacing w:after="140" w:before="320"/>
      </w:pPr>
      <w:r>
        <w:rPr>
          <w:rFonts w:ascii="Calibri" w:cs="Calibri" w:eastAsia="Calibri" w:hAnsi="Calibri"/>
          <w:b/>
          <w:bCs/>
          <w:color w:val="0F2A1E"/>
          <w:sz w:val="26"/>
          <w:szCs w:val="26"/>
        </w:rPr>
        <w:t xml:space="preserve">5.3 Bid Workflow</w:t>
      </w:r>
    </w:p>
    <w:p>
      <w:pPr>
        <w:spacing w:after="160" w:line="276"/>
      </w:pPr>
      <w:r>
        <w:rPr>
          <w:rFonts w:ascii="Calibri" w:cs="Calibri" w:eastAsia="Calibri" w:hAnsi="Calibri"/>
          <w:color w:val="222222"/>
          <w:sz w:val="21"/>
          <w:szCs w:val="21"/>
        </w:rPr>
        <w:t xml:space="preserve">For bid_required work orders, the field tech (or coordinator) submits a bid amount and scope before any work begins. The order cannot move past bid_pending status until the client records approval — protecting field techs from performing unapproved, unpaid work.</w:t>
      </w:r>
    </w:p>
    <w:p>
      <w:pPr>
        <w:pStyle w:val="Heading2"/>
        <w:spacing w:after="140" w:before="320"/>
      </w:pPr>
      <w:r>
        <w:rPr>
          <w:rFonts w:ascii="Calibri" w:cs="Calibri" w:eastAsia="Calibri" w:hAnsi="Calibri"/>
          <w:b/>
          <w:bCs/>
          <w:color w:val="0F2A1E"/>
          <w:sz w:val="26"/>
          <w:szCs w:val="26"/>
        </w:rPr>
        <w:t xml:space="preserve">5.4 Subcontractor Compliance Gate</w:t>
      </w:r>
    </w:p>
    <w:p>
      <w:pPr>
        <w:spacing w:after="160" w:line="276"/>
      </w:pPr>
      <w:r>
        <w:rPr>
          <w:rFonts w:ascii="Calibri" w:cs="Calibri" w:eastAsia="Calibri" w:hAnsi="Calibri"/>
          <w:color w:val="222222"/>
          <w:sz w:val="21"/>
          <w:szCs w:val="21"/>
        </w:rPr>
        <w:t xml:space="preserve">A subcontractor with an expired insurance_expiration date or invalid license_info cannot be assigned new work orders — this mirrors the license activation gate built for other BFF platforms, applied here to field-tech eligibility instead of software licensing.</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6. Billing &amp; Payout Logic</w:t>
      </w:r>
    </w:p>
    <w:p>
      <w:pPr>
        <w:pStyle w:val="Heading2"/>
        <w:spacing w:after="140" w:before="320"/>
      </w:pPr>
      <w:r>
        <w:rPr>
          <w:rFonts w:ascii="Calibri" w:cs="Calibri" w:eastAsia="Calibri" w:hAnsi="Calibri"/>
          <w:b/>
          <w:bCs/>
          <w:color w:val="0F2A1E"/>
          <w:sz w:val="26"/>
          <w:szCs w:val="26"/>
        </w:rPr>
        <w:t xml:space="preserve">6.1 Client-Specific Pricing</w:t>
      </w:r>
    </w:p>
    <w:p>
      <w:pPr>
        <w:spacing w:after="160" w:line="276"/>
      </w:pPr>
      <w:r>
        <w:rPr>
          <w:rFonts w:ascii="Calibri" w:cs="Calibri" w:eastAsia="Calibri" w:hAnsi="Calibri"/>
          <w:color w:val="222222"/>
          <w:sz w:val="21"/>
          <w:szCs w:val="21"/>
        </w:rPr>
        <w:t xml:space="preserve">Property preservation pricing varies significantly by client — the same service_type can have different line-item prices depending on the client's contract. Each client's pricing_schedule_id determines the rate applied when an invoice is generated, never a flat platform-wide price list.</w:t>
      </w:r>
    </w:p>
    <w:p>
      <w:pPr>
        <w:pStyle w:val="Heading2"/>
        <w:spacing w:after="140" w:before="320"/>
      </w:pPr>
      <w:r>
        <w:rPr>
          <w:rFonts w:ascii="Calibri" w:cs="Calibri" w:eastAsia="Calibri" w:hAnsi="Calibri"/>
          <w:b/>
          <w:bCs/>
          <w:color w:val="0F2A1E"/>
          <w:sz w:val="26"/>
          <w:szCs w:val="26"/>
        </w:rPr>
        <w:t xml:space="preserve">6.2 Payout Reconciliation</w:t>
      </w:r>
    </w:p>
    <w:p>
      <w:pPr>
        <w:spacing w:after="160" w:line="276"/>
      </w:pPr>
      <w:r>
        <w:rPr>
          <w:rFonts w:ascii="Calibri" w:cs="Calibri" w:eastAsia="Calibri" w:hAnsi="Calibri"/>
          <w:color w:val="222222"/>
          <w:sz w:val="21"/>
          <w:szCs w:val="21"/>
        </w:rPr>
        <w:t xml:space="preserve">Field tech/subcontractor payouts calculate from the same QC-approved work order as the client invoice, but at the tech's own rate (which may differ from the client billing rate — the margin between them is BFF Logistics' revenue on that job). Reconciliation confirms every paid-out work order has a corresponding invoiced work order, catching any orphaned payouts before they become a bookkeeping problem.</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7. Security &amp; Compliance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Control</w:t>
            </w:r>
          </w:p>
        </w:tc>
        <w:tc>
          <w:tcPr>
            <w:tcW w:type="dxa" w:w="67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Implementation</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Encryption in transit / at rest</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TLS 1.2+ and AES-256, consistent with the rest of the BFF product suite</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MFA</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Required for coordinator roles</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Role-Based Access Control</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Field techs see only their assigned work orders; subcontractors scoped even more narrowly than employees</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Data Isolation</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Every query scoped by tech_id/coordinator territory access</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Immutable Audit Log</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All work order status changes, QC decisions, and payout actions logged append-only</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Photo/Location Data Handling</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GPS metadata retained as compliance evidence, encrypted at rest given its sensitivity</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8. How This Document Should Be Used</w:t>
      </w:r>
    </w:p>
    <w:p>
      <w:pPr>
        <w:pStyle w:val="ListParagraph"/>
        <w:numPr>
          <w:ilvl w:val="0"/>
          <w:numId w:val="1"/>
        </w:numPr>
        <w:spacing w:after="80"/>
        <w:ind w:left="360"/>
      </w:pPr>
      <w:r>
        <w:rPr>
          <w:rFonts w:ascii="Calibri" w:cs="Calibri" w:eastAsia="Calibri" w:hAnsi="Calibri"/>
          <w:color w:val="222222"/>
          <w:sz w:val="21"/>
          <w:szCs w:val="21"/>
        </w:rPr>
        <w:t xml:space="preserve">Hand this document, together with the Master Prompt Architecture diagram, to the developer or AI coding agent as the combined spec.</w:t>
      </w:r>
    </w:p>
    <w:p>
      <w:pPr>
        <w:pStyle w:val="ListParagraph"/>
        <w:numPr>
          <w:ilvl w:val="0"/>
          <w:numId w:val="1"/>
        </w:numPr>
        <w:spacing w:after="80"/>
        <w:ind w:left="360"/>
      </w:pPr>
      <w:r>
        <w:rPr>
          <w:rFonts w:ascii="Calibri" w:cs="Calibri" w:eastAsia="Calibri" w:hAnsi="Calibri"/>
          <w:color w:val="222222"/>
          <w:sz w:val="21"/>
          <w:szCs w:val="21"/>
        </w:rPr>
        <w:t xml:space="preserve">Build the mobile field checklist and photo capture (Phase 3) with offline capability in mind — field techs working rural or low-signal properties across a five-state territory can't depend on constant connectivity. Sync on reconnect, don't block work on live connection.</w:t>
      </w:r>
    </w:p>
    <w:p>
      <w:pPr>
        <w:pStyle w:val="ListParagraph"/>
        <w:numPr>
          <w:ilvl w:val="0"/>
          <w:numId w:val="1"/>
        </w:numPr>
        <w:spacing w:after="80"/>
        <w:ind w:left="360"/>
      </w:pPr>
      <w:r>
        <w:rPr>
          <w:rFonts w:ascii="Calibri" w:cs="Calibri" w:eastAsia="Calibri" w:hAnsi="Calibri"/>
          <w:color w:val="222222"/>
          <w:sz w:val="21"/>
          <w:szCs w:val="21"/>
        </w:rPr>
        <w:t xml:space="preserve">Phase 4 (Compliance) is the section most worth extra review time before development begins — investor guideline specifics change periodically, and getting the checklist logic right the first time avoids expensive chargebacks later.</w:t>
      </w:r>
    </w:p>
    <w:p>
      <w:pPr>
        <w:pStyle w:val="ListParagraph"/>
        <w:numPr>
          <w:ilvl w:val="0"/>
          <w:numId w:val="1"/>
        </w:numPr>
        <w:spacing w:after="80"/>
        <w:ind w:left="360"/>
      </w:pPr>
      <w:r>
        <w:rPr>
          <w:rFonts w:ascii="Calibri" w:cs="Calibri" w:eastAsia="Calibri" w:hAnsi="Calibri"/>
          <w:color w:val="222222"/>
          <w:sz w:val="21"/>
          <w:szCs w:val="21"/>
        </w:rPr>
        <w:t xml:space="preserve">This is a living specification — as territory expands beyond the current five states, Section 3.1 (territories) and Section 4.1 (guideline selection) are the sections that will need the most updates.</w:t>
      </w:r>
    </w:p>
    <w:p>
      <w:pPr>
        <w:pStyle w:val="ListParagraph"/>
        <w:numPr>
          <w:ilvl w:val="0"/>
          <w:numId w:val="1"/>
        </w:numPr>
        <w:spacing w:after="80"/>
        <w:ind w:left="360"/>
      </w:pPr>
      <w:r>
        <w:rPr>
          <w:rFonts w:ascii="Calibri" w:cs="Calibri" w:eastAsia="Calibri" w:hAnsi="Calibri"/>
          <w:color w:val="222222"/>
          <w:sz w:val="21"/>
          <w:szCs w:val="21"/>
        </w:rPr>
        <w:t xml:space="preserve">Prompt 31 (“AI Assistant” in the diagram) is Gigi — embed her via the separate GG AI Concierge™ specification rather than building a local assistant here. That document defines her persona, voice, and escalation logic once, for all BFF platforms.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24"/>
              <w:bottom w:val="single" w:color="1B4332" w:sz="4"/>
              <w:right w:val="single" w:color="1B4332"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Brand &amp; UX Note</w:t>
            </w:r>
          </w:p>
          <w:p>
            <w:r>
              <w:rPr>
                <w:rFonts w:ascii="Calibri" w:cs="Calibri" w:eastAsia="Calibri" w:hAnsi="Calibri"/>
                <w:color w:val="222222"/>
                <w:sz w:val="20"/>
                <w:szCs w:val="20"/>
              </w:rPr>
              <w:t xml:space="preserve">Build using BFF's brand palette — Forest Green #1B4332, Metallic Gold #C9A227, Hot Pink #E85D8F — consistent with the rest of the BFF product suite. Given the field-based nature of this platform, prioritize a mobile-first, large-touch-target UI for the field checklist and photo capture screens over dense desktop-style layouts.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jc w:val="right"/>
    </w:pPr>
    <w:r>
      <w:rPr>
        <w:rFonts w:ascii="Calibri" w:cs="Calibri" w:eastAsia="Calibri" w:hAnsi="Calibri"/>
        <w:color w:val="999999"/>
        <w:sz w:val="16"/>
        <w:szCs w:val="16"/>
      </w:rPr>
      <w:t xml:space="preserve">BFF Logistics™ Technical Specification — BFF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2026-07-31T18:12:03.250Z</dcterms:created>
  <dcterms:modified xsi:type="dcterms:W3CDTF">2026-07-31T18:12:03.250Z</dcterms:modified>
</cp:coreProperties>
</file>

<file path=docProps/custom.xml><?xml version="1.0" encoding="utf-8"?>
<Properties xmlns="http://schemas.openxmlformats.org/officeDocument/2006/custom-properties" xmlns:vt="http://schemas.openxmlformats.org/officeDocument/2006/docPropsVTypes"/>
</file>