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drawing>
          <wp:inline distT="0" distB="0" distL="0" distR="0">
            <wp:extent cx="3619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352550"/>
                    </a:xfrm>
                    <a:prstGeom prst="rect">
                      <a:avLst/>
                    </a:prstGeom>
                  </pic:spPr>
                </pic:pic>
              </a:graphicData>
            </a:graphic>
          </wp:inline>
        </w:drawing>
      </w:r>
    </w:p>
    <w:p>
      <w:pPr>
        <w:spacing w:after="600"/>
      </w:pPr>
    </w:p>
    <w:p>
      <w:pPr>
        <w:spacing w:after="200"/>
        <w:jc w:val="center"/>
      </w:pPr>
      <w:r>
        <w:rPr>
          <w:rFonts w:ascii="Calibri" w:cs="Calibri" w:eastAsia="Calibri" w:hAnsi="Calibri"/>
          <w:b/>
          <w:bCs/>
          <w:color w:val="1B4332"/>
          <w:sz w:val="44"/>
          <w:szCs w:val="44"/>
        </w:rPr>
        <w:t xml:space="preserve">MASTER ENTERPRISE ARCHITECTURE</w:t>
      </w:r>
    </w:p>
    <w:p>
      <w:pPr>
        <w:spacing w:after="300"/>
        <w:jc w:val="center"/>
      </w:pPr>
      <w:r>
        <w:rPr>
          <w:rFonts w:ascii="Calibri" w:cs="Calibri" w:eastAsia="Calibri" w:hAnsi="Calibri"/>
          <w:b/>
          <w:bCs/>
          <w:color w:val="E85D8F"/>
          <w:sz w:val="26"/>
          <w:szCs w:val="26"/>
        </w:rPr>
        <w:t xml:space="preserve">How Seven Systems Operate as One Enterprise</w:t>
      </w:r>
    </w:p>
    <w:p>
      <w:pPr>
        <w:spacing w:after="100"/>
        <w:jc w:val="center"/>
      </w:pPr>
      <w:r>
        <w:rPr>
          <w:rFonts w:ascii="Calibri" w:cs="Calibri" w:eastAsia="Calibri" w:hAnsi="Calibri"/>
          <w:i/>
          <w:iCs/>
          <w:color w:val="999999"/>
          <w:sz w:val="20"/>
          <w:szCs w:val="20"/>
        </w:rPr>
        <w:t xml:space="preserve">Strategy. Solutions. Impact. Moving You Forward.</w:t>
      </w:r>
    </w:p>
    <w:p>
      <w:pPr>
        <w:spacing w:after="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4"/>
              <w:bottom w:val="single" w:color="C9A227" w:sz="4"/>
              <w:right w:val="single" w:color="C9A227"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What This Document Is</w:t>
            </w:r>
          </w:p>
          <w:p>
            <w:r>
              <w:rPr>
                <w:rFonts w:ascii="Calibri" w:cs="Calibri" w:eastAsia="Calibri" w:hAnsi="Calibri"/>
                <w:color w:val="222222"/>
                <w:sz w:val="20"/>
                <w:szCs w:val="20"/>
              </w:rPr>
              <w:t xml:space="preserve">This is the top-level map of the Best Face Forward ecosystem — five client-facing platforms, one shared AI layer, one software builder, and one philanthropic foundation, all operating under Best Face Forward Consultants, LLC. Each system already has its own complete architecture diagram, technical specification, and Grok development roadmap. This document does not repeat that detail — it shows how the seven pieces relate, where they share patterns, and in what order they should be built relative to each other.</w:t>
            </w:r>
          </w:p>
        </w:tc>
      </w:tr>
    </w:tbl>
    <w:p>
      <w:pPr>
        <w:spacing w:after="300"/>
      </w:pPr>
    </w:p>
    <w:p>
      <w:pPr>
        <w:spacing w:after="40"/>
        <w:jc w:val="center"/>
      </w:pPr>
      <w:r>
        <w:rPr>
          <w:rFonts w:ascii="Calibri" w:cs="Calibri" w:eastAsia="Calibri" w:hAnsi="Calibri"/>
          <w:color w:val="222222"/>
          <w:sz w:val="20"/>
          <w:szCs w:val="20"/>
        </w:rPr>
        <w:t xml:space="preserve">Prepared for: Best Face Forward Consultants, LLC</w:t>
      </w:r>
    </w:p>
    <w:p>
      <w:pPr>
        <w:spacing w:after="40"/>
        <w:jc w:val="center"/>
      </w:pPr>
      <w:r>
        <w:rPr>
          <w:rFonts w:ascii="Calibri" w:cs="Calibri" w:eastAsia="Calibri" w:hAnsi="Calibri"/>
          <w:color w:val="222222"/>
          <w:sz w:val="20"/>
          <w:szCs w:val="20"/>
        </w:rPr>
        <w:t xml:space="preserve">Prepared by: Jameal Clark, Founder &amp; CEO</w:t>
      </w:r>
    </w:p>
    <w:p>
      <w:pPr>
        <w:jc w:val="center"/>
      </w:pPr>
      <w:r>
        <w:rPr>
          <w:rFonts w:ascii="Calibri" w:cs="Calibri" w:eastAsia="Calibri" w:hAnsi="Calibri"/>
          <w:color w:val="999999"/>
          <w:sz w:val="20"/>
          <w:szCs w:val="20"/>
        </w:rPr>
        <w:t xml:space="preserve">Version 1.0 — July 2026</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1. The Seven Systems,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System</w:t>
            </w:r>
          </w:p>
        </w:tc>
        <w:tc>
          <w:tcPr>
            <w:tcW w:type="dxa" w:w="43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It Is</w:t>
            </w:r>
          </w:p>
        </w:tc>
        <w:tc>
          <w:tcPr>
            <w:tcW w:type="dxa" w:w="26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Who Uses It</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 IQ™</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Expense/mileage tracking with a strict Ledger → Chart of Accounts posting discipline</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BFF's own consulting clients (nonprofits, small businesses)</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BFF Insurance Solutions™</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Lead-to-policy-to-commission lifecycle across life, health, and P&amp;C lines</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Jameal as a solo MD-licensed producer, scaling to agents</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BFF Financial Solutions™</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Bookkeeping, advisory, tax prep, and business analysis — plus tax software service bureau sales to sub-preparers</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BFF's consulting clients + independent tax preparers</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BFF Logistics™</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Property preservation field services across a 5-state territory</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Property preservation companies, banks, asset managers</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G&amp;G Software Solutions™</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Custom development services + productized software</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External dev clients + software customers</w:t>
            </w:r>
          </w:p>
        </w:tc>
      </w:tr>
      <w:tr>
        <w:tc>
          <w:tcPr>
            <w:tcW w:type="dxa" w:w="24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GG AI Concierge™ (Gigi)</w:t>
            </w:r>
          </w:p>
        </w:tc>
        <w:tc>
          <w:tcPr>
            <w:tcW w:type="dxa" w:w="43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The shared AI layer embedded across all five platforms above</w:t>
            </w:r>
          </w:p>
        </w:tc>
        <w:tc>
          <w:tcPr>
            <w:tcW w:type="dxa" w:w="26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Every client-facing platform's end users</w:t>
            </w:r>
          </w:p>
        </w:tc>
      </w:tr>
      <w:tr>
        <w:tc>
          <w:tcPr>
            <w:tcW w:type="dxa" w:w="24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BFF Family Foundation™</w:t>
            </w:r>
          </w:p>
        </w:tc>
        <w:tc>
          <w:tcPr>
            <w:tcW w:type="dxa" w:w="43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The family's private grant-making foundation — gives money away, doesn't seek it</w:t>
            </w:r>
          </w:p>
        </w:tc>
        <w:tc>
          <w:tcPr>
            <w:tcW w:type="dxa" w:w="26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External nonprofits applying for grants</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2. Entity Structure — What's Inside the LLC and What Isn't</w:t>
      </w:r>
    </w:p>
    <w:p>
      <w:pPr>
        <w:spacing w:after="160" w:line="276"/>
      </w:pPr>
      <w:r>
        <w:rPr>
          <w:rFonts w:ascii="Calibri" w:cs="Calibri" w:eastAsia="Calibri" w:hAnsi="Calibri"/>
          <w:color w:val="222222"/>
          <w:sz w:val="21"/>
          <w:szCs w:val="21"/>
        </w:rPr>
        <w:t xml:space="preserve">This distinction matters more than it might seem: five of these seven systems are divisions or products of Best Face Forward Consultants, LLC. The sixth, GG AI Concierge, is shared infrastructure rather than a division with its own client base. The seventh, BFF Family Foundation, is a separate legal entity — a private 501(c)(3) — that the LLC funds but does not operate as a revenue-generating division.</w:t>
      </w:r>
    </w:p>
    <w:p>
      <w:pPr>
        <w:pStyle w:val="Heading2"/>
        <w:spacing w:after="140" w:before="320"/>
      </w:pPr>
      <w:r>
        <w:rPr>
          <w:rFonts w:ascii="Calibri" w:cs="Calibri" w:eastAsia="Calibri" w:hAnsi="Calibri"/>
          <w:b/>
          <w:bCs/>
          <w:color w:val="0F2A1E"/>
          <w:sz w:val="26"/>
          <w:szCs w:val="26"/>
        </w:rPr>
        <w:t xml:space="preserve">2.1 Inside the LLC</w:t>
      </w:r>
    </w:p>
    <w:p>
      <w:pPr>
        <w:pStyle w:val="ListParagraph"/>
        <w:numPr>
          <w:ilvl w:val="0"/>
          <w:numId w:val="1"/>
        </w:numPr>
        <w:spacing w:after="80"/>
        <w:ind w:left="360"/>
      </w:pPr>
      <w:r>
        <w:rPr>
          <w:rFonts w:ascii="Calibri" w:cs="Calibri" w:eastAsia="Calibri" w:hAnsi="Calibri"/>
          <w:color w:val="222222"/>
          <w:sz w:val="21"/>
          <w:szCs w:val="21"/>
        </w:rPr>
        <w:t xml:space="preserve">Expense IQ™, BFF Insurance Solutions™, BFF Financial Solutions™, BFF Logistics™, G&amp;G Software Solutions™ — all divisions/products of the LLC, generating revenue that flows back to the enterprise</w:t>
      </w:r>
    </w:p>
    <w:p>
      <w:pPr>
        <w:pStyle w:val="ListParagraph"/>
        <w:numPr>
          <w:ilvl w:val="0"/>
          <w:numId w:val="1"/>
        </w:numPr>
        <w:spacing w:after="80"/>
        <w:ind w:left="360"/>
      </w:pPr>
      <w:r>
        <w:rPr>
          <w:rFonts w:ascii="Calibri" w:cs="Calibri" w:eastAsia="Calibri" w:hAnsi="Calibri"/>
          <w:color w:val="222222"/>
          <w:sz w:val="21"/>
          <w:szCs w:val="21"/>
        </w:rPr>
        <w:t xml:space="preserve">GG AI Concierge™ — shared infrastructure the LLC builds once and every division draws on; it isn't sold as its own product to outside clients (at least not in the current scope)</w:t>
      </w:r>
    </w:p>
    <w:p>
      <w:pPr>
        <w:spacing w:after="120"/>
      </w:pPr>
    </w:p>
    <w:p>
      <w:pPr>
        <w:pStyle w:val="Heading2"/>
        <w:spacing w:after="140" w:before="320"/>
      </w:pPr>
      <w:r>
        <w:rPr>
          <w:rFonts w:ascii="Calibri" w:cs="Calibri" w:eastAsia="Calibri" w:hAnsi="Calibri"/>
          <w:b/>
          <w:bCs/>
          <w:color w:val="0F2A1E"/>
          <w:sz w:val="26"/>
          <w:szCs w:val="26"/>
        </w:rPr>
        <w:t xml:space="preserve">2.2 Outside the LLC</w:t>
      </w:r>
    </w:p>
    <w:p>
      <w:pPr>
        <w:pStyle w:val="ListParagraph"/>
        <w:numPr>
          <w:ilvl w:val="0"/>
          <w:numId w:val="1"/>
        </w:numPr>
        <w:spacing w:after="80"/>
        <w:ind w:left="360"/>
      </w:pPr>
      <w:r>
        <w:rPr>
          <w:rFonts w:ascii="Calibri" w:cs="Calibri" w:eastAsia="Calibri" w:hAnsi="Calibri"/>
          <w:color w:val="222222"/>
          <w:sz w:val="21"/>
          <w:szCs w:val="21"/>
        </w:rPr>
        <w:t xml:space="preserve">BFF Family Foundation™ — a separate private foundation, funded by 10% of annual enterprise distributions plus family gifts and public contributions, governed by its own Board (2 family members, 1 community member, 1 nonprofit sector professional)</w:t>
      </w:r>
    </w:p>
    <w:p>
      <w:pPr>
        <w:pStyle w:val="ListParagraph"/>
        <w:numPr>
          <w:ilvl w:val="0"/>
          <w:numId w:val="1"/>
        </w:numPr>
        <w:spacing w:after="80"/>
        <w:ind w:left="360"/>
      </w:pPr>
      <w:r>
        <w:rPr>
          <w:rFonts w:ascii="Calibri" w:cs="Calibri" w:eastAsia="Calibri" w:hAnsi="Calibri"/>
          <w:color w:val="222222"/>
          <w:sz w:val="21"/>
          <w:szCs w:val="21"/>
        </w:rPr>
        <w:t xml:space="preserve">This separation isn't just organizational tidiness — it's the structure that keeps the Foundation's federal excise tax exposure (Sec. 4, its own Technical Specification) legally distinct from the LLC's ordinary business risk</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3. Who Builds What — The Dogfooding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8F" w:sz="4"/>
              <w:left w:val="single" w:color="E85D8F" w:sz="24"/>
              <w:bottom w:val="single" w:color="E85D8F" w:sz="4"/>
              <w:right w:val="single" w:color="E85D8F"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An Open Question From G&amp;G's Own Spec</w:t>
            </w:r>
          </w:p>
          <w:p>
            <w:r>
              <w:rPr>
                <w:rFonts w:ascii="Calibri" w:cs="Calibri" w:eastAsia="Calibri" w:hAnsi="Calibri"/>
                <w:color w:val="222222"/>
                <w:sz w:val="20"/>
                <w:szCs w:val="20"/>
              </w:rPr>
              <w:t xml:space="preserve">G&amp;G Software Solutions™'s Technical Specification already raised this and left it for you to decide: since G&amp;G is the division that would build the other BFF platforms, should those builds themselves be tracked as G&amp;G's own dev_projects records? This document assumes yes — see Section 5 (Master Diagram reading notes) — but that assumption should be confirmed, not inherited silently.</w:t>
            </w:r>
          </w:p>
        </w:tc>
      </w:tr>
    </w:tbl>
    <w:p>
      <w:pPr>
        <w:spacing w:after="120"/>
      </w:pPr>
    </w:p>
    <w:p>
      <w:pPr>
        <w:spacing w:after="160" w:line="276"/>
      </w:pPr>
      <w:r>
        <w:rPr>
          <w:rFonts w:ascii="Calibri" w:cs="Calibri" w:eastAsia="Calibri" w:hAnsi="Calibri"/>
          <w:color w:val="222222"/>
          <w:sz w:val="21"/>
          <w:szCs w:val="21"/>
        </w:rPr>
        <w:t xml:space="preserve">If G&amp;G Software Solutions is the division building Expense IQ, Insurance Solutions, Financial Solutions, Logistics, GG AI Concierge, and even the Foundation platform, that has real implications worth deciding on purpose:</w:t>
      </w:r>
    </w:p>
    <w:p>
      <w:pPr>
        <w:pStyle w:val="ListParagraph"/>
        <w:numPr>
          <w:ilvl w:val="0"/>
          <w:numId w:val="1"/>
        </w:numPr>
        <w:spacing w:after="80"/>
        <w:ind w:left="360"/>
      </w:pPr>
      <w:r>
        <w:rPr>
          <w:rFonts w:ascii="Calibri" w:cs="Calibri" w:eastAsia="Calibri" w:hAnsi="Calibri"/>
          <w:color w:val="222222"/>
          <w:sz w:val="21"/>
          <w:szCs w:val="21"/>
        </w:rPr>
        <w:t xml:space="preserve">Each of those builds could be tracked as an internal dev_project in G&amp;G's own system — which would make G&amp;G's platform useful for managing this very rollout, not just external client work</w:t>
      </w:r>
    </w:p>
    <w:p>
      <w:pPr>
        <w:pStyle w:val="ListParagraph"/>
        <w:numPr>
          <w:ilvl w:val="0"/>
          <w:numId w:val="1"/>
        </w:numPr>
        <w:spacing w:after="80"/>
        <w:ind w:left="360"/>
      </w:pPr>
      <w:r>
        <w:rPr>
          <w:rFonts w:ascii="Calibri" w:cs="Calibri" w:eastAsia="Calibri" w:hAnsi="Calibri"/>
          <w:color w:val="222222"/>
          <w:sz w:val="21"/>
          <w:szCs w:val="21"/>
        </w:rPr>
        <w:t xml:space="preserve">Alternatively, if these builds are being contracted to an outside developer or a different AI coding agent, G&amp;G's platform is irrelevant to their construction — it only becomes relevant once G&amp;G itself is operational and taking on client work</w:t>
      </w:r>
    </w:p>
    <w:p>
      <w:pPr>
        <w:pStyle w:val="ListParagraph"/>
        <w:numPr>
          <w:ilvl w:val="0"/>
          <w:numId w:val="1"/>
        </w:numPr>
        <w:spacing w:after="80"/>
        <w:ind w:left="360"/>
      </w:pPr>
      <w:r>
        <w:rPr>
          <w:rFonts w:ascii="Calibri" w:cs="Calibri" w:eastAsia="Calibri" w:hAnsi="Calibri"/>
          <w:color w:val="222222"/>
          <w:sz w:val="21"/>
          <w:szCs w:val="21"/>
        </w:rPr>
        <w:t xml:space="preserve">Either way, the six platform-specific Grok roadmaps already built are what actually gets handed to whoever does the building — this document doesn't change that</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4. Shared Design Patterns Across the Ecosystem</w:t>
      </w:r>
    </w:p>
    <w:p>
      <w:pPr>
        <w:spacing w:after="160" w:line="276"/>
      </w:pPr>
      <w:r>
        <w:rPr>
          <w:rFonts w:ascii="Calibri" w:cs="Calibri" w:eastAsia="Calibri" w:hAnsi="Calibri"/>
          <w:color w:val="222222"/>
          <w:sz w:val="21"/>
          <w:szCs w:val="21"/>
        </w:rPr>
        <w:t xml:space="preserve">Each platform was scoped independently, but the same handful of patterns kept reappearing — worth naming explicitly so a future build starts from the same discipline instead of reinventing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Pattern</w:t>
            </w:r>
          </w:p>
        </w:tc>
        <w:tc>
          <w:tcPr>
            <w:tcW w:type="dxa" w:w="30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Where It Originated</w:t>
            </w:r>
          </w:p>
        </w:tc>
        <w:tc>
          <w:tcPr>
            <w:tcW w:type="dxa" w:w="31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Where It's Reused</w:t>
            </w:r>
          </w:p>
        </w:tc>
      </w:tr>
      <w:tr>
        <w:tc>
          <w:tcPr>
            <w:tcW w:type="dxa" w:w="3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Ledger → Chart of Accounts posting discipline</w:t>
            </w:r>
          </w:p>
        </w:tc>
        <w:tc>
          <w:tcPr>
            <w:tcW w:type="dxa" w:w="3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 IQ™</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Financial Solutions™'s bookkeeping module reuses this directly, scoped per client instead of per org</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A compliance gate that blocks progress on failure, not just a warning</w:t>
            </w:r>
          </w:p>
        </w:tc>
        <w:tc>
          <w:tcPr>
            <w:tcW w:type="dxa" w:w="3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 IQ™ (Validation Gate)</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Financial Solutions (tax due diligence gate), Logistics (QC gate), Foundation (5% distribution and expenditure responsibility gates)</w:t>
            </w:r>
          </w:p>
        </w:tc>
      </w:tr>
      <w:tr>
        <w:tc>
          <w:tcPr>
            <w:tcW w:type="dxa" w:w="3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A shared AI layer instead of five local assistants</w:t>
            </w:r>
          </w:p>
        </w:tc>
        <w:tc>
          <w:tcPr>
            <w:tcW w:type="dxa" w:w="30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GG AI Concierge™</w:t>
            </w:r>
          </w:p>
        </w:tc>
        <w:tc>
          <w:tcPr>
            <w:tcW w:type="dxa" w:w="31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Every client-facing platform embeds Gigi rather than building its own assistant</w:t>
            </w:r>
          </w:p>
        </w:tc>
      </w:tr>
      <w:tr>
        <w:tc>
          <w:tcPr>
            <w:tcW w:type="dxa" w:w="3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Separating a wholesale/B2B2B relationship from the client/engagement model</w:t>
            </w:r>
          </w:p>
        </w:tc>
        <w:tc>
          <w:tcPr>
            <w:tcW w:type="dxa" w:w="30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Financial Solutions™ (Tax Software Service Bureau)</w:t>
            </w:r>
          </w:p>
        </w:tc>
        <w:tc>
          <w:tcPr>
            <w:tcW w:type="dxa" w:w="31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Same logic applies to G&amp;G's product customers vs. dev-services clients</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5. Recommended Build Sequencing Across the Enterprise</w:t>
      </w:r>
    </w:p>
    <w:p>
      <w:pPr>
        <w:spacing w:after="160" w:line="276"/>
      </w:pPr>
      <w:r>
        <w:rPr>
          <w:rFonts w:ascii="Calibri" w:cs="Calibri" w:eastAsia="Calibri" w:hAnsi="Calibri"/>
          <w:color w:val="222222"/>
          <w:sz w:val="21"/>
          <w:szCs w:val="21"/>
        </w:rPr>
        <w:t xml:space="preserve">Each of the seven systems has its own internal phase order already (see each system's own Grok Roadmap). This section is about the order to build the systems relative to EACH OTHER — a different question.</w:t>
      </w:r>
    </w:p>
    <w:p>
      <w:pPr>
        <w:pStyle w:val="Heading2"/>
        <w:spacing w:after="140" w:before="320"/>
      </w:pPr>
      <w:r>
        <w:rPr>
          <w:rFonts w:ascii="Calibri" w:cs="Calibri" w:eastAsia="Calibri" w:hAnsi="Calibri"/>
          <w:b/>
          <w:bCs/>
          <w:color w:val="0F2A1E"/>
          <w:sz w:val="26"/>
          <w:szCs w:val="26"/>
        </w:rPr>
        <w:t xml:space="preserve">5.1 Suggested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Order</w:t>
            </w:r>
          </w:p>
        </w:tc>
        <w:tc>
          <w:tcPr>
            <w:tcW w:type="dxa" w:w="320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System</w:t>
            </w:r>
          </w:p>
        </w:tc>
        <w:tc>
          <w:tcPr>
            <w:tcW w:type="dxa" w:w="5260"/>
            <w:shd w:fill="1B4332"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Why This Position</w:t>
            </w:r>
          </w:p>
        </w:tc>
      </w:tr>
      <w:tr>
        <w:tc>
          <w:tcPr>
            <w:tcW w:type="dxa" w:w="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1</w:t>
            </w:r>
          </w:p>
        </w:tc>
        <w:tc>
          <w:tcPr>
            <w:tcW w:type="dxa" w:w="3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GG AI Concierge™ (Phases 1–2 only)</w:t>
            </w:r>
          </w:p>
        </w:tc>
        <w:tc>
          <w:tcPr>
            <w:tcW w:type="dxa" w:w="52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Gigi's generic core should exist before any platform embeds her — building her persona/escalation logic five times, once per platform, is the exact mistake this architecture prevents</w:t>
            </w:r>
          </w:p>
        </w:tc>
      </w:tr>
      <w:tr>
        <w:tc>
          <w:tcPr>
            <w:tcW w:type="dxa" w:w="9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2</w:t>
            </w:r>
          </w:p>
        </w:tc>
        <w:tc>
          <w:tcPr>
            <w:tcW w:type="dxa" w:w="3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Expense IQ™</w:t>
            </w:r>
          </w:p>
        </w:tc>
        <w:tc>
          <w:tcPr>
            <w:tcW w:type="dxa" w:w="52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Establishes the Ledger/Chart of Accounts pattern that Financial Solutions later reuses directly — building it first avoids Financial Solutions reinventing that logic</w:t>
            </w:r>
          </w:p>
        </w:tc>
      </w:tr>
      <w:tr>
        <w:tc>
          <w:tcPr>
            <w:tcW w:type="dxa" w:w="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3</w:t>
            </w:r>
          </w:p>
        </w:tc>
        <w:tc>
          <w:tcPr>
            <w:tcW w:type="dxa" w:w="3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BFF Financial Solutions™</w:t>
            </w:r>
          </w:p>
        </w:tc>
        <w:tc>
          <w:tcPr>
            <w:tcW w:type="dxa" w:w="52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Depends on Expense IQ's pattern (Sec. 4) for its fastest, most consistent build</w:t>
            </w:r>
          </w:p>
        </w:tc>
      </w:tr>
      <w:tr>
        <w:tc>
          <w:tcPr>
            <w:tcW w:type="dxa" w:w="9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4</w:t>
            </w:r>
          </w:p>
        </w:tc>
        <w:tc>
          <w:tcPr>
            <w:tcW w:type="dxa" w:w="3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BFF Insurance Solutions™ and BFF Logistics™</w:t>
            </w:r>
          </w:p>
        </w:tc>
        <w:tc>
          <w:tcPr>
            <w:tcW w:type="dxa" w:w="52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Independent of each other and of Steps 1–3 — can build in parallel once Gigi's core exists</w:t>
            </w:r>
          </w:p>
        </w:tc>
      </w:tr>
      <w:tr>
        <w:tc>
          <w:tcPr>
            <w:tcW w:type="dxa" w:w="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5</w:t>
            </w:r>
          </w:p>
        </w:tc>
        <w:tc>
          <w:tcPr>
            <w:tcW w:type="dxa" w:w="3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GG AI Concierge™ (Phases 3–6)</w:t>
            </w:r>
          </w:p>
        </w:tc>
        <w:tc>
          <w:tcPr>
            <w:tcW w:type="dxa" w:w="52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Host platform integration only makes sense once at least one real platform exists to integrate with</w:t>
            </w:r>
          </w:p>
        </w:tc>
      </w:tr>
      <w:tr>
        <w:tc>
          <w:tcPr>
            <w:tcW w:type="dxa" w:w="9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6</w:t>
            </w:r>
          </w:p>
        </w:tc>
        <w:tc>
          <w:tcPr>
            <w:tcW w:type="dxa" w:w="320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G&amp;G Software Solutions™</w:t>
            </w:r>
          </w:p>
        </w:tc>
        <w:tc>
          <w:tcPr>
            <w:tcW w:type="dxa" w:w="5260"/>
            <w:shd w:fill="FFFFFF" w:val="clear"/>
            <w:tcMar>
              <w:top w:type="dxa" w:w="70"/>
              <w:left w:type="dxa" w:w="100"/>
              <w:bottom w:type="dxa" w:w="70"/>
              <w:right w:type="dxa" w:w="100"/>
            </w:tcMar>
            <w:vAlign w:val="center"/>
          </w:tcPr>
          <w:p>
            <w:r>
              <w:rPr>
                <w:rFonts w:ascii="Calibri" w:cs="Calibri" w:eastAsia="Calibri" w:hAnsi="Calibri"/>
                <w:color w:val="222222"/>
                <w:sz w:val="18"/>
                <w:szCs w:val="18"/>
              </w:rPr>
              <w:t xml:space="preserve">Can build anytime after Step 1, but is most useful once there's real client/product activity across the other platforms to manage</w:t>
            </w:r>
          </w:p>
        </w:tc>
      </w:tr>
      <w:tr>
        <w:tc>
          <w:tcPr>
            <w:tcW w:type="dxa" w:w="9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7</w:t>
            </w:r>
          </w:p>
        </w:tc>
        <w:tc>
          <w:tcPr>
            <w:tcW w:type="dxa" w:w="320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BFF Family Foundation™</w:t>
            </w:r>
          </w:p>
        </w:tc>
        <w:tc>
          <w:tcPr>
            <w:tcW w:type="dxa" w:w="5260"/>
            <w:shd w:fill="F5F5F5" w:val="clear"/>
            <w:tcMar>
              <w:top w:type="dxa" w:w="70"/>
              <w:left w:type="dxa" w:w="100"/>
              <w:bottom w:type="dxa" w:w="70"/>
              <w:right w:type="dxa" w:w="100"/>
            </w:tcMar>
            <w:vAlign w:val="center"/>
          </w:tcPr>
          <w:p>
            <w:r>
              <w:rPr>
                <w:rFonts w:ascii="Calibri" w:cs="Calibri" w:eastAsia="Calibri" w:hAnsi="Calibri"/>
                <w:color w:val="222222"/>
                <w:sz w:val="18"/>
                <w:szCs w:val="18"/>
              </w:rPr>
              <w:t xml:space="preserve">Last by design — it's funded by 10% of enterprise distributions, so it makes the most sense once the enterprise is actually generating distributions to calculate against</w:t>
            </w:r>
          </w:p>
        </w:tc>
      </w:tr>
    </w:tbl>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6. Cross-Platform Considerations Not Fully Resolved Yet</w:t>
      </w:r>
    </w:p>
    <w:p>
      <w:pPr>
        <w:spacing w:after="160" w:line="276"/>
      </w:pPr>
      <w:r>
        <w:rPr>
          <w:rFonts w:ascii="Calibri" w:cs="Calibri" w:eastAsia="Calibri" w:hAnsi="Calibri"/>
          <w:color w:val="222222"/>
          <w:sz w:val="21"/>
          <w:szCs w:val="21"/>
        </w:rPr>
        <w:t xml:space="preserve">These are real open questions that surfaced while building the seven individual specs — flagged here rather than silently decided, the same way each platform's own spec flagged its own open decisions.</w:t>
      </w:r>
    </w:p>
    <w:p>
      <w:pPr>
        <w:pStyle w:val="Heading2"/>
        <w:spacing w:after="140" w:before="320"/>
      </w:pPr>
      <w:r>
        <w:rPr>
          <w:rFonts w:ascii="Calibri" w:cs="Calibri" w:eastAsia="Calibri" w:hAnsi="Calibri"/>
          <w:b/>
          <w:bCs/>
          <w:color w:val="0F2A1E"/>
          <w:sz w:val="26"/>
          <w:szCs w:val="26"/>
        </w:rPr>
        <w:t xml:space="preserve">6.1 Unified Client Identity</w:t>
      </w:r>
    </w:p>
    <w:p>
      <w:pPr>
        <w:spacing w:after="160" w:line="276"/>
      </w:pPr>
      <w:r>
        <w:rPr>
          <w:rFonts w:ascii="Calibri" w:cs="Calibri" w:eastAsia="Calibri" w:hAnsi="Calibri"/>
          <w:color w:val="222222"/>
          <w:sz w:val="21"/>
          <w:szCs w:val="21"/>
        </w:rPr>
        <w:t xml:space="preserve">A person could plausibly be a Financial Solutions client AND an Insurance Solutions client AND a Logistics client. Right now, each platform has its own client/customer table with no shared identity layer across platforms — only GG AI Concierge's cross-platform context handoff (its own Sec. 3.2) links conversations, not the underlying client records themselves. Whether BFF wants a true single customer view across all divisions — not just a shared AI memory — is a real architectural decision, not a small one.</w:t>
      </w:r>
    </w:p>
    <w:p>
      <w:pPr>
        <w:spacing w:after="120"/>
      </w:pPr>
    </w:p>
    <w:p>
      <w:pPr>
        <w:pStyle w:val="Heading2"/>
        <w:spacing w:after="140" w:before="320"/>
      </w:pPr>
      <w:r>
        <w:rPr>
          <w:rFonts w:ascii="Calibri" w:cs="Calibri" w:eastAsia="Calibri" w:hAnsi="Calibri"/>
          <w:b/>
          <w:bCs/>
          <w:color w:val="0F2A1E"/>
          <w:sz w:val="26"/>
          <w:szCs w:val="26"/>
        </w:rPr>
        <w:t xml:space="preserve">6.2 The G&amp;G Dogfooding Question</w:t>
      </w:r>
    </w:p>
    <w:p>
      <w:pPr>
        <w:spacing w:after="160" w:line="276"/>
      </w:pPr>
      <w:r>
        <w:rPr>
          <w:rFonts w:ascii="Calibri" w:cs="Calibri" w:eastAsia="Calibri" w:hAnsi="Calibri"/>
          <w:color w:val="222222"/>
          <w:sz w:val="21"/>
          <w:szCs w:val="21"/>
        </w:rPr>
        <w:t xml:space="preserve">Restated from Section 3: does G&amp;G Software Solutions track the building of the other six systems as its own dev_projects? This affects whether G&amp;G's platform should exist before or alongside the others, not strictly after them.</w:t>
      </w:r>
    </w:p>
    <w:p>
      <w:pPr>
        <w:spacing w:after="120"/>
      </w:pPr>
    </w:p>
    <w:p>
      <w:pPr>
        <w:pStyle w:val="Heading2"/>
        <w:spacing w:after="140" w:before="320"/>
      </w:pPr>
      <w:r>
        <w:rPr>
          <w:rFonts w:ascii="Calibri" w:cs="Calibri" w:eastAsia="Calibri" w:hAnsi="Calibri"/>
          <w:b/>
          <w:bCs/>
          <w:color w:val="0F2A1E"/>
          <w:sz w:val="26"/>
          <w:szCs w:val="26"/>
        </w:rPr>
        <w:t xml:space="preserve">6.3 Financial Language Academy Naming</w:t>
      </w:r>
    </w:p>
    <w:p>
      <w:pPr>
        <w:spacing w:after="160" w:line="276"/>
      </w:pPr>
      <w:r>
        <w:rPr>
          <w:rFonts w:ascii="Calibri" w:cs="Calibri" w:eastAsia="Calibri" w:hAnsi="Calibri"/>
          <w:color w:val="222222"/>
          <w:sz w:val="21"/>
          <w:szCs w:val="21"/>
        </w:rPr>
        <w:t xml:space="preserve">Still unresolved from GG AI Concierge's own spec: “Financial Language Academy™” vs. “GG Financial Language Academy™.” This document doesn't resolve it either — it's flagged here again only because it's an enterprise-visible decision (it'll appear in marketing and cross-platform navigation), not because this is a new place to decide it.</w:t>
      </w:r>
    </w:p>
    <w:p>
      <w:r>
        <w:br w:type="page"/>
      </w:r>
    </w:p>
    <w:p>
      <w:pPr>
        <w:pStyle w:val="Heading1"/>
        <w:pBdr>
          <w:bottom w:val="single" w:color="C9A227" w:sz="8" w:space="4"/>
        </w:pBdr>
        <w:spacing w:after="200" w:before="480"/>
      </w:pPr>
      <w:r>
        <w:rPr>
          <w:rFonts w:ascii="Calibri" w:cs="Calibri" w:eastAsia="Calibri" w:hAnsi="Calibri"/>
          <w:b/>
          <w:bCs/>
          <w:color w:val="1B4332"/>
          <w:sz w:val="32"/>
          <w:szCs w:val="32"/>
        </w:rPr>
        <w:t xml:space="preserve">7. How This Document Should Be Used</w:t>
      </w:r>
    </w:p>
    <w:p>
      <w:pPr>
        <w:pStyle w:val="ListParagraph"/>
        <w:numPr>
          <w:ilvl w:val="0"/>
          <w:numId w:val="1"/>
        </w:numPr>
        <w:spacing w:after="80"/>
        <w:ind w:left="360"/>
      </w:pPr>
      <w:r>
        <w:rPr>
          <w:rFonts w:ascii="Calibri" w:cs="Calibri" w:eastAsia="Calibri" w:hAnsi="Calibri"/>
          <w:color w:val="222222"/>
          <w:sz w:val="21"/>
          <w:szCs w:val="21"/>
        </w:rPr>
        <w:t xml:space="preserve">This document is a map, not a replacement for any of the seven individual specs — hand the specific platform's own diagram, technical specification, and Grok roadmap to whoever is building that platform.</w:t>
      </w:r>
    </w:p>
    <w:p>
      <w:pPr>
        <w:pStyle w:val="ListParagraph"/>
        <w:numPr>
          <w:ilvl w:val="0"/>
          <w:numId w:val="1"/>
        </w:numPr>
        <w:spacing w:after="80"/>
        <w:ind w:left="360"/>
      </w:pPr>
      <w:r>
        <w:rPr>
          <w:rFonts w:ascii="Calibri" w:cs="Calibri" w:eastAsia="Calibri" w:hAnsi="Calibri"/>
          <w:color w:val="222222"/>
          <w:sz w:val="21"/>
          <w:szCs w:val="21"/>
        </w:rPr>
        <w:t xml:space="preserve">Use this document when making decisions that affect more than one platform at once — sequencing, shared patterns, or the open cross-platform questions in Section 6.</w:t>
      </w:r>
    </w:p>
    <w:p>
      <w:pPr>
        <w:pStyle w:val="ListParagraph"/>
        <w:numPr>
          <w:ilvl w:val="0"/>
          <w:numId w:val="1"/>
        </w:numPr>
        <w:spacing w:after="80"/>
        <w:ind w:left="360"/>
      </w:pPr>
      <w:r>
        <w:rPr>
          <w:rFonts w:ascii="Calibri" w:cs="Calibri" w:eastAsia="Calibri" w:hAnsi="Calibri"/>
          <w:color w:val="222222"/>
          <w:sz w:val="21"/>
          <w:szCs w:val="21"/>
        </w:rPr>
        <w:t xml:space="preserve">Revisit Section 5's build sequencing if priorities change — it's a recommendation based on technical dependency, not a fixed commitment. If Insurance Solutions becomes the urgent priority for business reasons, building it before Expense IQ is a legitimate call — just build it knowing it won't yet have the Ledger pattern to lean 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24"/>
              <w:bottom w:val="single" w:color="1B4332" w:sz="4"/>
              <w:right w:val="single" w:color="1B4332" w:sz="4"/>
            </w:tcBorders>
            <w:shd w:fill="FDF6E3" w:val="clear"/>
            <w:tcMar>
              <w:top w:type="dxa" w:w="140"/>
              <w:left w:type="dxa" w:w="200"/>
              <w:bottom w:type="dxa" w:w="140"/>
              <w:right w:type="dxa" w:w="200"/>
            </w:tcMar>
          </w:tcPr>
          <w:p>
            <w:pPr>
              <w:spacing w:after="60"/>
            </w:pPr>
            <w:r>
              <w:rPr>
                <w:rFonts w:ascii="Calibri" w:cs="Calibri" w:eastAsia="Calibri" w:hAnsi="Calibri"/>
                <w:b/>
                <w:bCs/>
                <w:color w:val="0F2A1E"/>
                <w:sz w:val="21"/>
                <w:szCs w:val="21"/>
              </w:rPr>
              <w:t xml:space="preserve">Brand Note</w:t>
            </w:r>
          </w:p>
          <w:p>
            <w:r>
              <w:rPr>
                <w:rFonts w:ascii="Calibri" w:cs="Calibri" w:eastAsia="Calibri" w:hAnsi="Calibri"/>
                <w:color w:val="222222"/>
                <w:sz w:val="20"/>
                <w:szCs w:val="20"/>
              </w:rPr>
              <w:t xml:space="preserve">All seven systems share the same brand palette — Forest Green #1B4332, Metallic Gold #C9A227, Hot Pink #E85D8F — matching the parent Best Face Forward Consultants, LLC mark. That consistency is what makes this read as one enterprise rather than seven unrelated products that happen to share an owner.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999999"/>
        <w:sz w:val="16"/>
        <w:szCs w:val="16"/>
      </w:rPr>
      <w:t xml:space="preserve">Best Face Forward™ Master Enterprise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adf2bad0b2fe486f950c6934165832870fcb3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2026-07-31T18:40:11.489Z</dcterms:created>
  <dcterms:modified xsi:type="dcterms:W3CDTF">2026-07-31T18:40:11.512Z</dcterms:modified>
</cp:coreProperties>
</file>

<file path=docProps/custom.xml><?xml version="1.0" encoding="utf-8"?>
<Properties xmlns="http://schemas.openxmlformats.org/officeDocument/2006/custom-properties" xmlns:vt="http://schemas.openxmlformats.org/officeDocument/2006/docPropsVTypes"/>
</file>