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C9A227"/>
          <w:sz w:val="24"/>
          <w:szCs w:val="24"/>
        </w:rPr>
        <w:t xml:space="preserve">BEST FACE FORWARD CONSULTANTS, LLC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0F2A1E"/>
          <w:sz w:val="20"/>
          <w:szCs w:val="20"/>
        </w:rPr>
        <w:t xml:space="preserve">G&amp;G Software Solutions Division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4332"/>
          <w:sz w:val="44"/>
          <w:szCs w:val="44"/>
        </w:rPr>
        <w:t xml:space="preserve">G&amp;G SOFTWARE SOLUTIONS™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E85D8F"/>
          <w:sz w:val="26"/>
          <w:szCs w:val="26"/>
        </w:rPr>
        <w:t xml:space="preserve">Technical Specification &amp; System Integration Document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Custom Development Services + Productized Software, One Platform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24"/>
              <w:bottom w:val="single" w:color="C9A227" w:sz="4"/>
              <w:right w:val="single" w:color="C9A227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What This Document Is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This is the working engineering specification for G&amp;G Software Solutions™ — a dual-purpose platform running custom software development services (client-commissioned builds) alongside productized software (licensed/subscribed products G&amp;G sells directly), with Information Systems Monitoring scoped as a confirmed future phase. It defines the exact data fields, decision logic, and posting rules a developer or AI coding agent needs to implement it correctly.</w:t>
            </w:r>
          </w:p>
        </w:tc>
      </w:tr>
    </w:tbl>
    <w:p>
      <w:pPr>
        <w:spacing w:after="300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Prepared for: Best Face Forward Consultants, LLC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Prepared by: Jameal Clark, Founder &amp; Principal Consultant</w:t>
      </w:r>
    </w:p>
    <w:p>
      <w:pPr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Version 1.0 — July 2026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1. Executive Summary &amp; Scope Confirmation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G&amp;G Software Solutions™ has to do something the other three BFF platforms don't: run two structurally different businesses under one roof. Custom development is project-based and client-specific (build Expense IQ for BFF, build something else for another client). Productized software is subscription-based and one-to-many (many customers license the same product). A single platform has to keep these from collapsing into each other while still giving one unified view of the whole business.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1.1 Confirmed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Confirmed Scope</w:t>
            </w:r>
          </w:p>
        </w:tc>
      </w:tr>
      <w:tr>
        <w:tc>
          <w:tcPr>
            <w:tcW w:type="dxa" w:w="2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Core purpose</w:t>
            </w:r>
          </w:p>
        </w:tc>
        <w:tc>
          <w:tcPr>
            <w:tcW w:type="dxa" w:w="6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Both custom development services AND productized software — not one or the other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Primary users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Solo/principal-driven today; role structure scalable to developers and contractors</w:t>
            </w:r>
          </w:p>
        </w:tc>
      </w:tr>
      <w:tr>
        <w:tc>
          <w:tcPr>
            <w:tcW w:type="dxa" w:w="2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 base</w:t>
            </w:r>
          </w:p>
        </w:tc>
        <w:tc>
          <w:tcPr>
            <w:tcW w:type="dxa" w:w="6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Mixed — existing clients to onboard plus new client acquisition, unlike Insurance and Financial Solutions which started at zero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Confirmed future phase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Information Systems Monitoring (Phase 5) — scoped now, built later, does not block initial launch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8F" w:sz="4"/>
              <w:left w:val="single" w:color="E85D8F" w:sz="24"/>
              <w:bottom w:val="single" w:color="E85D8F" w:sz="4"/>
              <w:right w:val="single" w:color="E85D8F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Non-Negotiable Design Rule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 custom dev project and a product subscription are never the same record type, even for the same client. Revenue from each must report separately — blending project fees with subscription revenue would make neither number meaningful.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2. Two Business Models, One Platform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2.1 The Core Distinction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60"/>
        <w:gridCol w:w="3700"/>
      </w:tblGrid>
      <w:tr>
        <w:trPr>
          <w:tblHeader/>
        </w:trPr>
        <w:tc>
          <w:tcPr>
            <w:tcW w:type="dxa" w:w="20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6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Custom Development Services</w:t>
            </w:r>
          </w:p>
        </w:tc>
        <w:tc>
          <w:tcPr>
            <w:tcW w:type="dxa" w:w="37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Productized Software</w:t>
            </w:r>
          </w:p>
        </w:tc>
      </w:tr>
      <w:tr>
        <w:tc>
          <w:tcPr>
            <w:tcW w:type="dxa" w:w="2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Relationship shape</w:t>
            </w:r>
          </w:p>
        </w:tc>
        <w:tc>
          <w:tcPr>
            <w:tcW w:type="dxa" w:w="36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One project, one client, defined scope and end date</w:t>
            </w:r>
          </w:p>
        </w:tc>
        <w:tc>
          <w:tcPr>
            <w:tcW w:type="dxa" w:w="37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One product, many customers, ongoing subscription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Pricing</w:t>
            </w:r>
          </w:p>
        </w:tc>
        <w:tc>
          <w:tcPr>
            <w:tcW w:type="dxa" w:w="3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Fixed bid or time &amp; materials, negotiated per project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Published pricing tiers, same for all customers at a tier</w:t>
            </w:r>
          </w:p>
        </w:tc>
      </w:tr>
      <w:tr>
        <w:tc>
          <w:tcPr>
            <w:tcW w:type="dxa" w:w="2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Delivery</w:t>
            </w:r>
          </w:p>
        </w:tc>
        <w:tc>
          <w:tcPr>
            <w:tcW w:type="dxa" w:w="36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Milestone-based, custom requirements per engagement</w:t>
            </w:r>
          </w:p>
        </w:tc>
        <w:tc>
          <w:tcPr>
            <w:tcW w:type="dxa" w:w="37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Self-service provisioning, same product for everyone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Billing</w:t>
            </w:r>
          </w:p>
        </w:tc>
        <w:tc>
          <w:tcPr>
            <w:tcW w:type="dxa" w:w="36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Milestone or hourly invoices tied to project_id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Recurring subscription billing tied to subscription_id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2.2 Where They Connect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client can be both a dev services client AND a product customer — for example, a client who commissions a custom build might later subscribe to a G&amp;G product, or a product customer might commission a customization project. Section 2.3 (Unified CRM) gives one 360-degree view of a client across both relationship types, but the underlying Projects and Subscriptions tables never merge into one.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2.3 Cross-Sell Detection Logic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product customer whose support tickets repeatedly request custom functionality outside the product's scope is flagged as a dev-services cross-sell opportunity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dev services client whose delivered project resembles an existing G&amp;G product's feature set is flagged as a potential product customer instead of a one-off rebuild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3. Database Schema — Core Tables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3.1 team /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team_member_id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principal | developer | contractor | support | read_only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3.2 clients_customers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account_id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relationship_type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 (multi)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dev_services | product_customer | both — computed from whether they have active projects and/or subscriptions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contact_info, business_name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3.3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product_name, description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e.g., “Expense IQ™” if productized for other consultants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pricing_tiers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table (1:many)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tier_name, price, billing_cycle, feature_set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3.4 dev_projects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project_id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account_id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pricing_model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fixed_bid | time_and_materials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scope_of_work, start_date, target_end_date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proposed | active | in_review | delivered | closed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milestones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table (1:many)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milestone_name, due_date, amount (if fixed_bid), status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3.5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subscription_id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account_id / product_id / tier_id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billing_cycle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monthly | annual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trial | active | past_due | cancelled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seats_licensed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For per-seat products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3.6 support_tickets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ticket_id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account_id / subscription_id or project_id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 ticket can relate to either a product or a dev project, not both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bug | feature_request | question | outside_scope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outside_scope flag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Drives cross-sell detection (Sec. 2.3)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3.7 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invoice_id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project_milestone | project_hourly | subscription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source_id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Points to dev_projects.milestone_id or subscriptions.id — never ambiguous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draft | sent | paid | overdue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3.8 monitored_systems (future — Phase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monitor_id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account_id, system_name, monitoring_type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uptime | security | both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sla_target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decimal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e.g., 99.9% uptime commitment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healthy | degraded | down | unmonitored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4. Custom Development Services Logic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4.1 Project Scoping and Proposal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discovery intake captures the client's requirements, then generates a scope of work and proposal, mirroring the same engagement-letter pattern built for Financial Solutions — work cannot begin (status cannot move past 'proposed') until the client has approved the scope and pricing model.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4.2 Fixed Bid vs. Time &amp;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73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Billing Logic</w:t>
            </w:r>
          </w:p>
        </w:tc>
      </w:tr>
      <w:tr>
        <w:tc>
          <w:tcPr>
            <w:tcW w:type="dxa" w:w="2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Fixed bid</w:t>
            </w:r>
          </w:p>
        </w:tc>
        <w:tc>
          <w:tcPr>
            <w:tcW w:type="dxa" w:w="73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Total price split across milestones at proposal time; each milestone invoices independently on delivery + client sign-off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Time &amp; materials</w:t>
            </w:r>
          </w:p>
        </w:tc>
        <w:tc>
          <w:tcPr>
            <w:tcW w:type="dxa" w:w="73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Hours logged against the project, invoiced on a recurring cycle (e.g., biweekly or monthly) at the agreed rate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4.3 Deliverable Sign-Off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milestone cannot be invoiced until it has a client sign-off record (timestamp + approver). This protects G&amp;G from billing for undelivered or unapproved work, and gives the client an auditable record of what they accepted and when.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5. Productized Software Logic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5.1 Subscription Lifecycle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trial → active → (past_due if payment fails) → active (on payment recovery) or cancelled (after grace period expires)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Upgrade/downgrade takes effect at the next billing cycle by default, with an option for immediate proration — configurable per product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5.2 Provisioning and Access Control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Provisioning is triggered automatically when a subscription moves to active — access is granted programmatically, not manually, so there's no lag between payment and access. Access is revoked automatically (not immediately deleted) when a subscription moves to cancelled, with data retained per the product's own retention policy.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5.3 Usage Tracking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Usage tracking fields depend on the product's pricing model — seat-based products track seats_used vs. seats_licensed; usage-based products (API calls, storage, etc.) track consumption against tier limits. This data feeds both the customer-facing usage dashboard and G&amp;G's own capacity/margin analysis.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6. Information Systems Monitoring — Future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24"/>
              <w:bottom w:val="single" w:color="C9A227" w:sz="4"/>
              <w:right w:val="single" w:color="C9A227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Status: Scoped, Not Built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This section defines the module so the data model is ready when this phase is prioritized. It should not be built as part of the initial launch (Prompts 1–22, 29–33) — only Prompts 23–28 (Phase 5) cover it, and that phase is explicitly sequenced after the core platform ships.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6.1 What This Adds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Ongoing monitoring of client information systems — uptime, performance, and security/vulnerability status — sold as a recurring service, structurally similar to a subscription (Sec. 5) but tracking infrastructure health rather than software license usage.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6.2 Core Logic (for future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71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Uptime monitoring</w:t>
            </w:r>
          </w:p>
        </w:tc>
        <w:tc>
          <w:tcPr>
            <w:tcW w:type="dxa" w:w="71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Periodic health checks against monitored_systems; status changes to degraded/down trigger alerts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Security monitoring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Vulnerability scan results ingested and flagged by severity; critical findings alert immediately, not batched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Incident tracking</w:t>
            </w:r>
          </w:p>
        </w:tc>
        <w:tc>
          <w:tcPr>
            <w:tcW w:type="dxa" w:w="71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Any status change to down or a critical security finding opens an incident record, closed only when resolved and verified, not just when status recovers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SLA reporting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Uptime percentage calculated per monitoring period, compared against sla_target, reported to the client on a recurring basis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7. Security &amp; Compliance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67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Encryption in transit / at rest</w:t>
            </w:r>
          </w:p>
        </w:tc>
        <w:tc>
          <w:tcPr>
            <w:tcW w:type="dxa" w:w="67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TLS 1.2+ and AES-256, consistent with the rest of the BFF product suite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MFA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Required for principal and developer roles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67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Enforced at API layer; contractors scoped to only their assigned projects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Data Isolation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Every query scoped by account_id; product customers cannot see other customers' data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Immutable Audit Log</w:t>
            </w:r>
          </w:p>
        </w:tc>
        <w:tc>
          <w:tcPr>
            <w:tcW w:type="dxa" w:w="67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All project, subscription, provisioning, and invoice actions logged append-only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Source Code / IP Protection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 project repositories access-controlled per project, not platform-wide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8. How This Document Should Be Used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Hand this document, together with the Master Prompt Architecture diagram, to the developer or AI coding agent as the combined spec.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Phases 1–4 and 6 for initial launch. Phase 5 (Information Systems Monitoring) is scoped but intentionally deferred — do not build it until explicitly prioritized.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Because G&amp;G is the division that would build the OTHER BFF platforms (Expense IQ, Insurance Solutions, Financial Solutions), consider whether those engagements should themselves be tracked as dev_projects in this system once G&amp;G's platform exists — a natural dogfooding opportunity worth raising before Phase 2 is built.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is a living specification — when Phase 5 is prioritized, Section 6 should be expanded with the same level of field-level detail as Sections 4 and 5 before development begins.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Prompt 31 (“AI Assistant” in the diagram) is Gigi — embed her via the separate GG AI Concierge™ specification rather than building a local assistant here. Note this is a distinct system from G&amp;G Software Solutions itself, despite the shared “GG” prefix — see the GG AI Concierge Architecture Diagram for why they stay separate.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Brand &amp; UX Note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Build using BFF's brand palette — Forest Green #1B4332, Metallic Gold #C9A227, Hot Pink #E85D8F — consistent with Expense IQ, Insurance Solutions, and Financial Solutions, so the whole BFF suite feels like one company across divisions.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G&amp;G Software Solutions™ Technical Specification — BFF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2026-07-31T18:12:02.961Z</dcterms:created>
  <dcterms:modified xsi:type="dcterms:W3CDTF">2026-07-31T18:12:02.961Z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