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C9A227"/>
          <w:sz w:val="24"/>
          <w:szCs w:val="24"/>
        </w:rPr>
        <w:t xml:space="preserve">BEST FACE FORWARD CONSULTANTS, LLC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0F2A1E"/>
          <w:sz w:val="20"/>
          <w:szCs w:val="20"/>
        </w:rPr>
        <w:t xml:space="preserve">BFF Financial Solutions Division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332"/>
          <w:sz w:val="48"/>
          <w:szCs w:val="48"/>
        </w:rPr>
        <w:t xml:space="preserve">BFF FINANCIAL SOLUTIONS™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E85D8F"/>
          <w:sz w:val="26"/>
          <w:szCs w:val="26"/>
        </w:rPr>
        <w:t xml:space="preserve">Technical Specification &amp; System Integration Document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One Practice Platform — Bookkeeping, Advisory, Tax, and Analysis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24"/>
              <w:bottom w:val="single" w:color="C9A227" w:sz="4"/>
              <w:right w:val="single" w:color="C9A227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What This Document Is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This is the working engineering specification for BFF Financial Solutions™ — a solo-practitioner-ready, scalable platform covering four client service lines (bookkeeping and accounting, individual financial advisory, tax preparation, and business financial analysis) plus a fifth, structurally separate revenue line: tax software service bureau sales to independent sub-preparers. It defines the exact data fields, decision logic, and posting rules a developer or AI coding agent needs to implement it correctly, and it deliberately reuses the Ledger → Chart of Accounts discipline built for Expense IQ™ so the BFF product suite stays consistent.</w:t>
            </w:r>
          </w:p>
        </w:tc>
      </w:tr>
    </w:tbl>
    <w:p>
      <w:pPr>
        <w:spacing w:after="30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Prepared for: Best Face Forward Consultants, LLC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Prepared by: Jameal Clark, Founder &amp; Principal Consultant, GMCP | Xero Bronze Partner | IRS PTIN P02016385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Version 1.0 — July 2026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1. Executive Summary &amp; Scope Confirmation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BFF Financial Solutions™ is a full financial consulting practice platform, not a single-purpose tool. It has to run four genuinely different service lines — bookkeeping, individual advisory, tax preparation, and business analysis — under one client relationship and one billing system, while starting from zero clients, which means lead generation and engagement setup are first-class citizens, not afterthoughts.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1.1 Confirmed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Confirmed Scope</w:t>
            </w:r>
          </w:p>
        </w:tc>
      </w:tr>
      <w:tr>
        <w:tc>
          <w:tcPr>
            <w:tcW w:type="dxa" w:w="2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Core purpose</w:t>
            </w:r>
          </w:p>
        </w:tc>
        <w:tc>
          <w:tcPr>
            <w:tcW w:type="dxa" w:w="6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Full practice platform: lead generation → engagement setup → service delivery (4 lines) → billing → client portal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Primary users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Solo practitioner today; role structure built to add associates/bookkeepers without re-architecture</w:t>
            </w:r>
          </w:p>
        </w:tc>
      </w:tr>
      <w:tr>
        <w:tc>
          <w:tcPr>
            <w:tcW w:type="dxa" w:w="2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 base</w:t>
            </w:r>
          </w:p>
        </w:tc>
        <w:tc>
          <w:tcPr>
            <w:tcW w:type="dxa" w:w="6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Zero existing clients — lead generation and conversion are required from day one, same posture as Insurance Solutions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Service lines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Bookkeeping/accounting, individual financial advisory, tax preparation, business financial analysis and reporting</w:t>
            </w:r>
          </w:p>
        </w:tc>
      </w:tr>
      <w:tr>
        <w:tc>
          <w:tcPr>
            <w:tcW w:type="dxa" w:w="2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Additional revenue line</w:t>
            </w:r>
          </w:p>
        </w:tc>
        <w:tc>
          <w:tcPr>
            <w:tcW w:type="dxa" w:w="6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Tax software service bureau — reselling software seats to independent sub-preparers (Sec. 8). Wholesale relationship, not a client engagement.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8F" w:sz="4"/>
              <w:left w:val="single" w:color="E85D8F" w:sz="24"/>
              <w:bottom w:val="single" w:color="E85D8F" w:sz="4"/>
              <w:right w:val="single" w:color="E85D8F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Non-Negotiable Design Rule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 module may write a client's financial fact directly into a report, invoice, or tax return. Every bookkeeping transaction writes to that client's own Chart of Accounts and Ledger first; every report, invoice, and filing reads from there.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2. Service Line Architecture — One Client, Four Possible Engagements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core architectural challenge this platform solves: a single client (say, a small business owner) might need bookkeeping AND tax prep AND advisory — or just one of the three. The system must support multiple concurrent engagements per client without duplicating that client's core record four times.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2.1 Client vs. Engagement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71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</w:t>
            </w:r>
          </w:p>
        </w:tc>
        <w:tc>
          <w:tcPr>
            <w:tcW w:type="dxa" w:w="71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 record per person or business — contact info, entity type, household/business linkage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Engagement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 record per service line contracted — has its own scope, fee structure, start date, and status. A client can have 1–4 active engagements simultaneously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Engagement Letter</w:t>
            </w:r>
          </w:p>
        </w:tc>
        <w:tc>
          <w:tcPr>
            <w:tcW w:type="dxa" w:w="71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Generated per engagement, defines scope of work and fee — required before service delivery work can begin on that engagement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2.2 The Canonical Path (applies across all four service lines)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rPr>
          <w:tblHeader/>
        </w:trPr>
        <w:tc>
          <w:tcPr>
            <w:tcW w:type="dxa" w:w="7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4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Failure Behavior</w:t>
            </w:r>
          </w:p>
        </w:tc>
      </w:tr>
      <w:tr>
        <w:tc>
          <w:tcPr>
            <w:tcW w:type="dxa" w:w="7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Lead captured, scored, routed by service-line interest</w:t>
            </w:r>
          </w:p>
        </w:tc>
        <w:tc>
          <w:tcPr>
            <w:tcW w:type="dxa" w:w="44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Missing name/contact blocks save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Discovery/intake questionnaire completed (varies by service line, Sec. 4)</w:t>
            </w:r>
          </w:p>
        </w:tc>
        <w:tc>
          <w:tcPr>
            <w:tcW w:type="dxa" w:w="4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Incomplete intake blocks proposal generation</w:t>
            </w:r>
          </w:p>
        </w:tc>
      </w:tr>
      <w:tr>
        <w:tc>
          <w:tcPr>
            <w:tcW w:type="dxa" w:w="7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Fee proposal generated (Sec. 5), engagement letter issued</w:t>
            </w:r>
          </w:p>
        </w:tc>
        <w:tc>
          <w:tcPr>
            <w:tcW w:type="dxa" w:w="44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Cannot begin billable work without a signed engagement letter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Lead converts to Client + Engagement record at signature</w:t>
            </w:r>
          </w:p>
        </w:tc>
        <w:tc>
          <w:tcPr>
            <w:tcW w:type="dxa" w:w="4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Conversion trigger is signature, not first contact</w:t>
            </w:r>
          </w:p>
        </w:tc>
      </w:tr>
      <w:tr>
        <w:tc>
          <w:tcPr>
            <w:tcW w:type="dxa" w:w="7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Service delivery begins in the relevant module (Sec. 3–4)</w:t>
            </w:r>
          </w:p>
        </w:tc>
        <w:tc>
          <w:tcPr>
            <w:tcW w:type="dxa" w:w="44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Each service line's module is independent; one client can be mid-engagement on multiple simultaneously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Invoicing draws from engagement fee structure (Sec. 6)</w:t>
            </w:r>
          </w:p>
        </w:tc>
        <w:tc>
          <w:tcPr>
            <w:tcW w:type="dxa" w:w="4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Invoice must reference an active engagement_id, never a bare client_id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3. Database Schema — Core Tables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3.1 consultants /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consultant_id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principal | associate | bookkeeper | read_only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table (1:many)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type (GMCP/PTIN/Xero/other), number, issue_date, expiration_date, ce_required, ce_completed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3.2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lead_id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service_line_interest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 (multi)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bookkeeping | advisory | tax | analysis — can select more than one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source, contact_name, phone, email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score, stage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int, 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new | contacted | discovery | proposed | signed | lost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converted_client_id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(FK, nullable)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3.3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individual | business (drives which intake questionnaire and COA template applies)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business_name / ein OR individual name / ssn_last4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Field set depends on entity_type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3.4 engagements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engagement_id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service_line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bookkeeping | advisory | tax | analysis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fee_structure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hourly | flat | retainer — see Sec. 5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scope_of_work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Generated from Sec. 2.2 Step 3, editable before signature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proposed | active | paused | completed | terminated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engagement_letter_signed_at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timestamp, nullable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Required non-null before service delivery work can log time or transactions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3.5 chart_of_accounts / transactions (per bookkeeping client)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Identical structure to Expense IQ™ Sections 3.3–3.4 — chart_of_accounts and transactions tables, scoped by client_id instead of org_id, same SMB/Nonprofit template split, same posting rule: every transaction resolves to exactly one Chart of Accounts code before it's considered posted.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3.6 financial_plans (advisory)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plan_id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client_id / engagement_id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net_worth_snapshot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JSON (dated)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Assets, liabilities, snapshot per review period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goals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table (1:many)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goal_type (retirement/education/debt/emergency fund), target_amount, target_date, progress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recommendations_log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table (1:many)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date, recommendation_text, status (proposed/accepted/declined)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3.7 tax_returns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return_id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client_id / engagement_id / tax_year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filing_status, return_type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1040 | 1120 | 1120S | 1065 | 990, etc.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due_diligence_checklist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JSON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Form 8867 checklist items, required complete before filing (Sec. 5.2)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gathering_docs | in_prep | review | filed | amended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filed_date, extension_filed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date, boolean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3.8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invoice_id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engagement_id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Required — never a bare client_id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line_items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table (1:many)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description, hours (if hourly), rate, amount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draft | sent | paid | overdue | written_off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4. Service-Line-Specific Intake &amp; Delivery Logic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4.1 Bookkeeping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Intake: current bookkeeping system (if any), bank/CC accounts to connect, backlog scope (how many months/years uncategorized), entity type for COA template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Delivery: transaction import → categorization → monthly close checklist → financial statement generation, mirroring the Expense IQ pipeline but scoped per client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Cleanup projects (like a multi-year backlog) get their own project tracker with a transaction-count progress bar, separate from ongoing monthly bookkeeping status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4.2 Individual Financial Advisory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Intake: current net worth snapshot, income sources, existing accounts, financial goals, risk tolerance notes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Delivery: goal tracking against target_date/target_amount, periodic net worth snapshots (not continuous like a ledger — advisory reviews are point-in-time), recommendations logged with accepted/declined status so follow-through is trackable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module explicitly does not execute trades or move client money — it tracks plans and recommendations only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4.3 Tax Preparation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Intake: prior year return (if available), entity/filing type, document checklist specific to that filing type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Delivery: due diligence checklist per Form 8867 / IRC §6695(g) requirements must show 100% complete before a return can move to filed status — this is a hard gate, not a suggestion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Deadline tracking is entity-type aware: individual (Apr 15), partnership/S-corp (Mar 15), C-corp (Apr 15), nonprofit 990 (May 15 for calendar year) — with extension tracking layered on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4.4 Business Financial Analysis &amp; Reporting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Draws from that client's own transactions/chart_of_accounts (same data bookkeeping produces) — this module does not require its own separate data entry if the client is also a bookkeeping client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For analysis-only clients (not also bookkeeping clients), supports manual/import upload of financials to analyze without becoming a full bookkeeping engagement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Outputs: KPI dashboard (gross margin, current ratio, days sales outstanding, etc.), trend analysis period-over-period, and a plain-language summary suitable for a non-financial business owner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5. Fee Proposal Engine &amp; Tax Due Diligence Gate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5.1 Fee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30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Fit</w:t>
            </w:r>
          </w:p>
        </w:tc>
        <w:tc>
          <w:tcPr>
            <w:tcW w:type="dxa" w:w="45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</w:tr>
      <w:tr>
        <w:tc>
          <w:tcPr>
            <w:tcW w:type="dxa" w:w="1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Hourly</w:t>
            </w:r>
          </w:p>
        </w:tc>
        <w:tc>
          <w:tcPr>
            <w:tcW w:type="dxa" w:w="3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Advisory sessions, ad hoc analysis</w:t>
            </w:r>
          </w:p>
        </w:tc>
        <w:tc>
          <w:tcPr>
            <w:tcW w:type="dxa" w:w="45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hours_logged × hourly_rate, invoiced per period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Flat fee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Tax return prep, bookkeeping cleanup projects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Fixed amount set at engagement signature, can be milestone-split</w:t>
            </w:r>
          </w:p>
        </w:tc>
      </w:tr>
      <w:tr>
        <w:tc>
          <w:tcPr>
            <w:tcW w:type="dxa" w:w="1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Retainer</w:t>
            </w:r>
          </w:p>
        </w:tc>
        <w:tc>
          <w:tcPr>
            <w:tcW w:type="dxa" w:w="3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Ongoing monthly bookkeeping, ongoing advisory relationship</w:t>
            </w:r>
          </w:p>
        </w:tc>
        <w:tc>
          <w:tcPr>
            <w:tcW w:type="dxa" w:w="45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Fixed recurring amount, auto-invoiced on a schedule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5.2 Tax Due Diligence Gate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 IRS Form 8867 and IRC §6695(g) compliance requirements, a tax_returns record cannot move to status = filed unless due_diligence_checklist shows every required item complete. This mirrors the Uncategorized Transaction hard-block in Expense IQ's Validation Gate — same principle, applied to tax compliance instead of bookkeeping accuracy.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6. Security &amp; Compliance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67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Encryption in transit / at rest</w:t>
            </w:r>
          </w:p>
        </w:tc>
        <w:tc>
          <w:tcPr>
            <w:tcW w:type="dxa" w:w="67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TLS 1.2+ and AES-256, same standard as Expense IQ and Insurance Solutions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MFA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Required for principal/associate roles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67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Enforced at API layer; client portal scoped to that client's own engagements only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Data Isolation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Every query scoped by consultant_id/practice_id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Immutable Audit Log</w:t>
            </w:r>
          </w:p>
        </w:tc>
        <w:tc>
          <w:tcPr>
            <w:tcW w:type="dxa" w:w="67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All engagement, transaction, tax filing, and invoice actions logged append-only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PII/PHI-adjacent handling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SSN, tax documents, and financial account numbers encrypted at the field level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8. Tax Software &amp; Service Bureau Sales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BFF Financial Solutions™ also operates as a tax software service bureau — reselling tax preparation software licenses/seats to independent tax preparers (“sub-preparers”). This is a wholesale software resale relationship, not a consulting engagement, and it must stay structurally separate from the Client/Engagement model in Section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8F" w:sz="4"/>
              <w:left w:val="single" w:color="E85D8F" w:sz="24"/>
              <w:bottom w:val="single" w:color="E85D8F" w:sz="4"/>
              <w:right w:val="single" w:color="E85D8F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Why This Is Not a Fifth Engagement Type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 sub-preparer is not a client. They don't get an intake questionnaire, an engagement letter, or a spot in the Clients table. Folding them into the Engagements model would corrupt practice-wide revenue reporting by mixing service-fee revenue with software resale margin — two fundamentally different economics.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8.1 Database Schema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60"/>
      </w:tblGrid>
      <w:tr>
        <w:trPr>
          <w:tblHeader/>
        </w:trPr>
        <w:tc>
          <w:tcPr>
            <w:tcW w:type="dxa" w:w="24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7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2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service_bureau_accounts</w:t>
            </w:r>
          </w:p>
        </w:tc>
        <w:tc>
          <w:tcPr>
            <w:tcW w:type="dxa" w:w="37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bureau_account_id, software_vendor, vendor_agreement_number, wholesale_cost_per_seat</w:t>
            </w:r>
          </w:p>
        </w:tc>
        <w:tc>
          <w:tcPr>
            <w:tcW w:type="dxa" w:w="32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 record per software vendor relationship (e.g., a Drake or TaxSlayer Pro bureau agreement)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sub_preparers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sub_preparer_id, business_name, contact_info, efin, ptin, status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 = active/inactive; EFIN and PTIN validity gate license activation (Sec. 8.3)</w:t>
            </w:r>
          </w:p>
        </w:tc>
      </w:tr>
      <w:tr>
        <w:tc>
          <w:tcPr>
            <w:tcW w:type="dxa" w:w="2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software_licenses</w:t>
            </w:r>
          </w:p>
        </w:tc>
        <w:tc>
          <w:tcPr>
            <w:tcW w:type="dxa" w:w="37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license_id, sub_preparer_id, tax_year, product_tier, seats_assigned, wholesale_cost, resale_price, status</w:t>
            </w:r>
          </w:p>
        </w:tc>
        <w:tc>
          <w:tcPr>
            <w:tcW w:type="dxa" w:w="32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 = active/expired/pending_renewal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sub_preparer_production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sub_preparer_id, tax_year, returns_filed_count, last_activity_date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Lightweight monitoring only — BFF is not auditing sub-preparers' work product, just tracking usage for support and renewal purposes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8.2 Revenue Share &amp; Margin Calculation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margin = resale_price − wholesale_cost, calculated per seat at the point a license is assigned. Service bureau revenue rolls into Practice-Wide Reporting (Prompt 29) as its own category — reported separately from bookkeeping, advisory, tax, and analysis revenue, never blended into a single “revenue” figure that would obscure the very different margins involved.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8.3 License Activation Gate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software_licenses record cannot move to status = active unless the linked sub_preparer's EFIN and PTIN are both currently valid (not expired, not revoked). This mirrors the tax due diligence gate in Section 5.2 — same principle, applied to protect BFF from distributing licensed tax software to a preparer who has lost their credentials.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8.4 Renewal Cycle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License renewals run on an annual cycle tied to tax season — renewal notices should go out in the fall (October–November) for the upcoming filing season, well before the following year's filing season opens, giving sub-preparers time to renew without a service gap during peak season.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9. How This Document Should Be Used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Hand this document, together with the Master Prompt Architecture diagram, to the developer or AI coding agent as the combined spec.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Phase 2 (Lead Generation and Engagement Intake) early, same reasoning as Insurance Solutions — zero existing clients means the platform's first job is generating them.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3 (Bookkeeping) reuses the Ledger/Chart of Accounts logic from Expense IQ almost directly — if Expense IQ is built first, this phase should move faster by referencing that implementation rather than rebuilding it from scratch.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is a living specification — as service lines are added or dropped, Section 2 (Service Line Architecture) and Section 4 (Service-Line-Specific Logic) are the sections that will need the most updates.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7 (Tax Software and Service Bureau Sales, Section 8) can be built in parallel with Phases 2–6 rather than strictly after them — it doesn't depend on the Client/Engagement model, only on the Foundation phase (Prompt 6) being complete.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Brand &amp; UX Note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Build using BFF's brand palette — Forest Green #1B4332, Metallic Gold #C9A227, Hot Pink #E85D8F — consistent with Expense IQ and Insurance Solutions, so the whole BFF suite feels like one company across divisions.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BFF Financial Solutions™ Technical Specification — BFF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2026-07-31T17:07:19.263Z</dcterms:created>
  <dcterms:modified xsi:type="dcterms:W3CDTF">2026-07-31T17:07:19.264Z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