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C9A227"/>
          <w:sz w:val="24"/>
          <w:szCs w:val="24"/>
        </w:rPr>
        <w:t xml:space="preserve">BEST FACE FORWARD CONSULTANTS, LLC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0F2A1E"/>
          <w:sz w:val="20"/>
          <w:szCs w:val="20"/>
        </w:rPr>
        <w:t xml:space="preserve">BFF Insurance Solutions Division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332"/>
          <w:sz w:val="50"/>
          <w:szCs w:val="50"/>
        </w:rPr>
        <w:t xml:space="preserve">BFF INSURANCE SOLUTIONS™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E85D8F"/>
          <w:sz w:val="26"/>
          <w:szCs w:val="26"/>
        </w:rPr>
        <w:t xml:space="preserve">Technical Specification &amp; System Integration Document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From First Lead to Bound Policy to Renewal — One Accurate Chain of Custody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24"/>
              <w:bottom w:val="single" w:color="C9A227" w:sz="4"/>
              <w:right w:val="single" w:color="C9A227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What This Document Is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This is the working engineering specification for BFF Insurance Solutions™ — a solo-producer-ready, multi-agent-capable platform covering lead generation, multi-line quoting, policy and client management, commissions, and a client portal. It defines the exact data fields, decision logic, and posting rules a developer or AI coding agent needs to implement it correctly.</w:t>
            </w:r>
          </w:p>
        </w:tc>
      </w:tr>
    </w:tbl>
    <w:p>
      <w:pPr>
        <w:spacing w:after="30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for: Best Face Forward Consultants, LLC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by: Jameal Clark, Founder &amp; Principal Consultant, MD Life Insurance Producer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Version 1.0 — July 2026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1. Executive Summary &amp; Scope Confirmation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BFF Insurance Solutions™ is built for the reality of starting without an existing book of business: the platform must generate and convert leads, not just manage policies that already exist. It is scoped as a solo-producer tool today, architected so that adding agents later requires configuration, not rebuilding.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1.1 Confirmed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Confirmed Scope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Core purpose</w:t>
            </w:r>
          </w:p>
        </w:tc>
        <w:tc>
          <w:tcPr>
            <w:tcW w:type="dxa" w:w="6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Full lifecycle: lead generation → quoting → policy/client management → commissions → client portal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Primary users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Solo producer today; role and permission structure built to add agents without re-architecture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Lines of insurance</w:t>
            </w:r>
          </w:p>
        </w:tc>
        <w:tc>
          <w:tcPr>
            <w:tcW w:type="dxa" w:w="6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All lines from day one — life, health/supplemental, and P&amp;C — with a data model that scales as licensing expands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Compliance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MD Life Producer License tracked today; architecture supports multi-state, multi-line license and CE tracking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8F" w:sz="4"/>
              <w:left w:val="single" w:color="E85D8F" w:sz="24"/>
              <w:bottom w:val="single" w:color="E85D8F" w:sz="4"/>
              <w:right w:val="single" w:color="E85D8F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Non-Negotiable Design Rule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 module may write a bound policy or a commission figure directly into a report. Every module writes to the Policies and Commissions tables; every report reads from them. This is what makes production numbers and commission statements trustworthy.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2. System Integration Flow — Lead to Renewal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The One Rule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Every lead, quote, application, and policy must resolve to exactly one row in the appropriate table — Leads, Quotes, or Policies — tagged to exactly one Client/Household and one Carrier/Product. Every bound policy produces exactly one traceable commission record. No stage is permitted to skip ahead or write outside this path.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2.1 The Canonical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600"/>
        <w:gridCol w:w="3260"/>
      </w:tblGrid>
      <w:tr>
        <w:trPr>
          <w:tblHeader/>
        </w:trPr>
        <w:tc>
          <w:tcPr>
            <w:tcW w:type="dxa" w:w="6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6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 Component</w:t>
            </w:r>
          </w:p>
        </w:tc>
        <w:tc>
          <w:tcPr>
            <w:tcW w:type="dxa" w:w="32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Failure Behavior</w:t>
            </w:r>
          </w:p>
        </w:tc>
      </w:tr>
      <w:tr>
        <w:tc>
          <w:tcPr>
            <w:tcW w:type="dxa" w:w="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Capture</w:t>
            </w:r>
          </w:p>
        </w:tc>
        <w:tc>
          <w:tcPr>
            <w:tcW w:type="dxa" w:w="3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 form, referral, cold import, or event scan</w:t>
            </w:r>
          </w:p>
        </w:tc>
        <w:tc>
          <w:tcPr>
            <w:tcW w:type="dxa" w:w="32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Reject incomplete leads missing name + contact method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Score &amp; Route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 Scoring Engine (Sec. 4)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Low-score leads go to nurture queue, not immediate quoting</w:t>
            </w:r>
          </w:p>
        </w:tc>
      </w:tr>
      <w:tr>
        <w:tc>
          <w:tcPr>
            <w:tcW w:type="dxa" w:w="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Quote</w:t>
            </w:r>
          </w:p>
        </w:tc>
        <w:tc>
          <w:tcPr>
            <w:tcW w:type="dxa" w:w="3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Multi-Line Quoting Engine (Sec. 5)</w:t>
            </w:r>
          </w:p>
        </w:tc>
        <w:tc>
          <w:tcPr>
            <w:tcW w:type="dxa" w:w="32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Missing required underwriting inputs blocks quote generation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Compare &amp; Present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Quote Comparison across carriers/products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N/A — read-only view of Sec. 5 output</w:t>
            </w:r>
          </w:p>
        </w:tc>
      </w:tr>
      <w:tr>
        <w:tc>
          <w:tcPr>
            <w:tcW w:type="dxa" w:w="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Apply</w:t>
            </w:r>
          </w:p>
        </w:tc>
        <w:tc>
          <w:tcPr>
            <w:tcW w:type="dxa" w:w="3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Application Submission + E-Signature</w:t>
            </w:r>
          </w:p>
        </w:tc>
        <w:tc>
          <w:tcPr>
            <w:tcW w:type="dxa" w:w="32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Incomplete application cannot submit to carrier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Underwrite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Underwriting Status Tracking (carrier-driven)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Declined/rated status routes back to Quoting for re-shop</w:t>
            </w:r>
          </w:p>
        </w:tc>
      </w:tr>
      <w:tr>
        <w:tc>
          <w:tcPr>
            <w:tcW w:type="dxa" w:w="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Bind</w:t>
            </w:r>
          </w:p>
        </w:tc>
        <w:tc>
          <w:tcPr>
            <w:tcW w:type="dxa" w:w="3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Policy created in Policies table, linked to Client/Household</w:t>
            </w:r>
          </w:p>
        </w:tc>
        <w:tc>
          <w:tcPr>
            <w:tcW w:type="dxa" w:w="32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Cannot bind without an approved application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Commission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Commission Calculation (Sec. 6)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Commission cannot post without a linked bound policy_id</w:t>
            </w:r>
          </w:p>
        </w:tc>
      </w:tr>
      <w:tr>
        <w:tc>
          <w:tcPr>
            <w:tcW w:type="dxa" w:w="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Service</w:t>
            </w:r>
          </w:p>
        </w:tc>
        <w:tc>
          <w:tcPr>
            <w:tcW w:type="dxa" w:w="3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Renewals, endorsements, claims, cross-sell alerts</w:t>
            </w:r>
          </w:p>
        </w:tc>
        <w:tc>
          <w:tcPr>
            <w:tcW w:type="dxa" w:w="32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All reference the original policy_id — no orphaned service records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3. Database Schema — Core Tables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3.1 agents /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principal | agent | csr | read_only — principal = you today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licensed_lines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array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life | health | property | casualty — drives which quoting modules are visible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3.2 licenses_appointments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license_id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agent_id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state, line_of_authority, license_number, issue_date, expiration_date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row per state + line combination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ce_credits_completed / ce_credits_required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Drives Compliance Dashboard alerts (Sec. 8)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carrier_appointments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table (1:many)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carrier_id, appointment_date, status — required before quoting that carrier's products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3.3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web_form | referral | cold_import | event | client_referral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contact_name / phone / email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Minimum required to save a lead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line_of_interest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life | health | property | casualty | multiple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score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See Sec. 4 scoring logic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new | contacted | quoted | applied | bound | lost | nurture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converted_client_id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(FK, nullable)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Set when lead becomes a client (Sec. 5.4)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3.4 quotes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quote_id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lead_id or client_id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quote can be run pre- or post-conversion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carrier_id / product_id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line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life | health | property | casualty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underwriting_inputs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JSON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Age, health class, coverage amount, term, address, etc. — schema varies by line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premium_quoted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draft | presented | applied | expired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3.5 clients / households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household_id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(FK, nullable)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Groups related clients (spouse, dependents) for cross-sell view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converted_from_lead_id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(FK, nullable)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contact_info, date_of_birth, address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3.6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policy_id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client_id / carrier_id / product_id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line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life | health | property | casualty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policy_number, effective_date, term, premium, face_amount_or_coverage_limit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face_amount for life; coverage_limit for P&amp;C/health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active | lapsed | cancelled | renewed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source_quote_id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Traces every bound policy back to its originating quote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3.7 commissions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commission_id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policy_id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Required — no commission exists without a bound policy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commission_rate, commission_amount, commission_type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type: first_year | renewal | override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pending | paid | chargeback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chargeback_reason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string, nullable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Set if policy lapses within chargeback period (Sec. 6.3)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3.8 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log_id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agent_id, action, entity_type, entity_id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create | edit | quote | apply | bind | pay_commission | export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Immutable — append-only, matches Expense IQ security standard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4. Lead Scoring &amp; Pipeline Logic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4.1 Scoring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14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3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Source quality</w:t>
            </w:r>
          </w:p>
        </w:tc>
        <w:tc>
          <w:tcPr>
            <w:tcW w:type="dxa" w:w="1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0.25</w:t>
            </w:r>
          </w:p>
        </w:tc>
        <w:tc>
          <w:tcPr>
            <w:tcW w:type="dxa" w:w="53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 referral scores highest; cold import scores lowest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Contact responsiveness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0.25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Answered call / replied to message within 24 hrs scores high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Coverage need signal</w:t>
            </w:r>
          </w:p>
        </w:tc>
        <w:tc>
          <w:tcPr>
            <w:tcW w:type="dxa" w:w="1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0.30</w:t>
            </w:r>
          </w:p>
        </w:tc>
        <w:tc>
          <w:tcPr>
            <w:tcW w:type="dxa" w:w="53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Life event triggers (new baby, new home, new business) score high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Budget/timeline fit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0.20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Stated intent to buy within 30 days scores highest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4.2 Pipeline Stages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New → Contacted → Quoted → Applied → Bound (or Lost / Nurture at any stage)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Score ≥ 70: routes to immediate outreach queue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Score 40–69: routes to nurture sequence (drip follow-up)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Score &lt; 40: retained but deprioritized, re-scored on any new activity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5. Multi-Line Quoting Engine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quoting engine's required inputs and output logic differ by line — this is the single biggest architectural difference from a single-line insurance tool.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5.1 Required Inputs by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44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 Underwriting Inputs</w:t>
            </w:r>
          </w:p>
        </w:tc>
        <w:tc>
          <w:tcPr>
            <w:tcW w:type="dxa" w:w="33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Output</w:t>
            </w:r>
          </w:p>
        </w:tc>
      </w:tr>
      <w:tr>
        <w:tc>
          <w:tcPr>
            <w:tcW w:type="dxa" w:w="1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Life</w:t>
            </w:r>
          </w:p>
        </w:tc>
        <w:tc>
          <w:tcPr>
            <w:tcW w:type="dxa" w:w="4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Age, gender, health class/build, tobacco use, coverage amount, term length</w:t>
            </w:r>
          </w:p>
        </w:tc>
        <w:tc>
          <w:tcPr>
            <w:tcW w:type="dxa" w:w="33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Premium by term/whole/UL type, carrier-ranked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Health/Supplemental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Age, ZIP, household size, income (for subsidy est.), pre-existing conditions flag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Plan tier premiums, subsidy estimate if applicable</w:t>
            </w:r>
          </w:p>
        </w:tc>
      </w:tr>
      <w:tr>
        <w:tc>
          <w:tcPr>
            <w:tcW w:type="dxa" w:w="1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Property (P&amp;C - home)</w:t>
            </w:r>
          </w:p>
        </w:tc>
        <w:tc>
          <w:tcPr>
            <w:tcW w:type="dxa" w:w="4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Property address, year built, construction type, coverage limits, claims history</w:t>
            </w:r>
          </w:p>
        </w:tc>
        <w:tc>
          <w:tcPr>
            <w:tcW w:type="dxa" w:w="33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Premium by coverage tier, carrier-ranked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Casualty (P&amp;C - auto)</w:t>
            </w:r>
          </w:p>
        </w:tc>
        <w:tc>
          <w:tcPr>
            <w:tcW w:type="dxa" w:w="4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Driver(s) age/history, vehicle(s), coverage limits, garaging address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Premium by coverage tier, carrier-ranked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5.2 Quote Comparison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Quote Comparison is a read-only view over the quotes table, filtered to a single lead/client, sorted by premium or by carrier rating. It never recalculates — it only displays what Section 5.1 already produced.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5.3 Needs Analysis (Life-specific, expandable to other lines)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dedicated coverage-gap calculator: income replacement need (income × years) + debts + final expenses + future obligations (education, etc.) − existing coverage = recommended additional coverage. This feeds a suggested face amount into the Quoting Engine, it does not bypass it.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5.4 Lead-to-Client Conversion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lead converts to a client record the moment its first application is submitted (Sec. 2.1, Step 5) — not at bind. This ensures applications-in-progress are trackable as client relationships even before a policy is active, without creating a client record for every quote request (which would pollute the CRM with unqualified leads).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6. Commission Calculation &amp; Reconciliation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6.1 Commission Calculation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commission_amount = premium × commission_rate, where commission_rate is looked up from the carrier + product + commission_type (first year vs. renewal vs. override) combination set in Prompt 21's Commission Schedule.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6.2 Statement Reconciliation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When a carrier commission statement is imported (CSV or manual entry), each line is matched against a pending commission record by policy_number + carrier_id. Matches are marked paid; unmatched statement lines are flagged for manual review rather than silently ignored — this catches both underpayments and policies the system doesn't know about yet.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6.3 Chargebacks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a policy lapses or is cancelled within the carrier's chargeback period (carrier-specific, stored on the product record), the linked commission record is flagged chargeback and the amount is deducted from the agent's next statement — never silently rewritten in the original commission record, preserving the audit trail.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7. Compliance Dashboard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Since this platform is built for a producer actively expanding lines and (potentially) states, compliance tracking is a first-class module, not an afterthought.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Tracked Item</w:t>
            </w:r>
          </w:p>
        </w:tc>
        <w:tc>
          <w:tcPr>
            <w:tcW w:type="dxa" w:w="63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 Trigger</w:t>
            </w:r>
          </w:p>
        </w:tc>
      </w:tr>
      <w:tr>
        <w:tc>
          <w:tcPr>
            <w:tcW w:type="dxa" w:w="3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License expiration (per state/line)</w:t>
            </w:r>
          </w:p>
        </w:tc>
        <w:tc>
          <w:tcPr>
            <w:tcW w:type="dxa" w:w="63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90, 30, and 7 days before expiration_date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CE credits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Alert if ce_credits_completed &lt; ce_credits_required with under 60 days remaining in the reporting period</w:t>
            </w:r>
          </w:p>
        </w:tc>
      </w:tr>
      <w:tr>
        <w:tc>
          <w:tcPr>
            <w:tcW w:type="dxa" w:w="3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Carrier appointment status</w:t>
            </w:r>
          </w:p>
        </w:tc>
        <w:tc>
          <w:tcPr>
            <w:tcW w:type="dxa" w:w="63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Alert if appointment lapses or carrier requires re-certification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E&amp;O insurance</w:t>
            </w:r>
          </w:p>
        </w:tc>
        <w:tc>
          <w:tcPr>
            <w:tcW w:type="dxa" w:w="6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Alert 30 days before policy expiration if tracked in the system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8. Security &amp; Compliance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67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Encryption in transit / at rest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TLS 1.2+ and AES-256, identical standard to Expense IQ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MFA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Required for principal/agent roles handling client PII and underwriting data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Enforced at API layer; client portal users scoped strictly to their own policy/claim records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 Isolation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Every query scoped by agent_id/agency_id — critical once multi-agent is enabled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Immutable Audit Log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All quote, application, bind, and commission actions logged append-only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PII Handling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SSN/DOB/health data encrypted at the field level, not just at the database level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8F" w:sz="4"/>
              <w:left w:val="single" w:color="E85D8F" w:sz="24"/>
              <w:bottom w:val="single" w:color="E85D8F" w:sz="4"/>
              <w:right w:val="single" w:color="E85D8F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Note on Client Portal Security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client portal (Phase 5) introduces external, non-employee logins for the first time in this platform. Its permission scope must be the narrowest in the system — a client can see and act on only their own household's policies and claims, never agent-side pipeline, commission, or other clients' data.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9. How This Document Should Be Used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Hand this document, together with the Master Prompt Architecture diagram, to the developer or AI coding agent as the combined spec.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Phase 1 (Foundation and Compliance) and Phase 2 (Lead Generation and Quoting) first — with no existing book of business, the platform's first job is generating one.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5 (Client Portal) should not be built until Phase 3 has real policies in it — a portal with nothing to show a client is wasted effort at this stage.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a living specification — as licensing expands into new lines or states, Section 3 (schema) and Section 7 (compliance) are the two sections that will need the most updates.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Brand &amp; UX Note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Build using BFF's brand palette — Forest Green #1B4332, Metallic Gold #C9A227, Hot Pink #E85D8F — consistent with Expense IQ and the rest of the BFF product family, so the whole suite feels like one company.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BFF Insurance Solutions™ Technical Specification — BFF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2026-07-31T16:51:49.628Z</dcterms:created>
  <dcterms:modified xsi:type="dcterms:W3CDTF">2026-07-31T16:51:49.639Z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