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C9A227"/>
          <w:sz w:val="24"/>
          <w:szCs w:val="24"/>
        </w:rPr>
        <w:t xml:space="preserve">BEST FACE FORWARD CONSULTANTS, LLC</w:t>
      </w:r>
    </w:p>
    <w:p>
      <w:pPr>
        <w:spacing w:after="400"/>
        <w:jc w:val="center"/>
      </w:pPr>
      <w:r>
        <w:rPr>
          <w:rFonts w:ascii="Calibri" w:cs="Calibri" w:eastAsia="Calibri" w:hAnsi="Calibri"/>
          <w:color w:val="0F2A1E"/>
          <w:sz w:val="20"/>
          <w:szCs w:val="20"/>
        </w:rPr>
        <w:t xml:space="preserve">BFF Technology Division</w:t>
      </w:r>
    </w:p>
    <w:p>
      <w:pPr>
        <w:spacing w:after="200"/>
        <w:jc w:val="center"/>
      </w:pPr>
      <w:r>
        <w:rPr>
          <w:rFonts w:ascii="Calibri" w:cs="Calibri" w:eastAsia="Calibri" w:hAnsi="Calibri"/>
          <w:b/>
          <w:bCs/>
          <w:color w:val="1B4332"/>
          <w:sz w:val="56"/>
          <w:szCs w:val="56"/>
        </w:rPr>
        <w:t xml:space="preserve">EXPENSE IQ™</w:t>
      </w:r>
    </w:p>
    <w:p>
      <w:pPr>
        <w:spacing w:after="500"/>
        <w:jc w:val="center"/>
      </w:pPr>
      <w:r>
        <w:rPr>
          <w:rFonts w:ascii="Calibri" w:cs="Calibri" w:eastAsia="Calibri" w:hAnsi="Calibri"/>
          <w:b/>
          <w:bCs/>
          <w:color w:val="E85D8F"/>
          <w:sz w:val="26"/>
          <w:szCs w:val="26"/>
        </w:rPr>
        <w:t xml:space="preserve">Technical Specification &amp; System Integration Document</w:t>
      </w:r>
    </w:p>
    <w:p>
      <w:pPr>
        <w:spacing w:after="100"/>
        <w:jc w:val="center"/>
      </w:pPr>
      <w:r>
        <w:rPr>
          <w:rFonts w:ascii="Calibri" w:cs="Calibri" w:eastAsia="Calibri" w:hAnsi="Calibri"/>
          <w:i/>
          <w:iCs/>
          <w:color w:val="999999"/>
          <w:sz w:val="20"/>
          <w:szCs w:val="20"/>
        </w:rPr>
        <w:t xml:space="preserve">Compliant. Integrated. Accurate.</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24"/>
              <w:bottom w:val="single" w:color="C9A227" w:sz="4"/>
              <w:right w:val="single" w:color="C9A227"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What This Document Is</w:t>
            </w:r>
          </w:p>
          <w:p>
            <w:r>
              <w:rPr>
                <w:rFonts w:ascii="Calibri" w:cs="Calibri" w:eastAsia="Calibri" w:hAnsi="Calibri"/>
                <w:color w:val="222222"/>
                <w:sz w:val="20"/>
                <w:szCs w:val="20"/>
              </w:rPr>
              <w:t xml:space="preserve">This is the working engineering specification for Expense IQ™ — not a chapter outline. It defines the exact data fields, decision logic, and posting rules that make every dollar entering the system (via receipt, bank feed, mileage log, or manual entry) land correctly, once, in the Chart of Accounts and the central Ledger. It is written to be handed directly to a developer or an AI coding agent (Grok or otherwise) for implementation.</w:t>
            </w:r>
          </w:p>
        </w:tc>
      </w:tr>
    </w:tbl>
    <w:p>
      <w:pPr>
        <w:spacing w:after="300"/>
      </w:pPr>
    </w:p>
    <w:p>
      <w:pPr>
        <w:spacing w:after="40"/>
        <w:jc w:val="center"/>
      </w:pPr>
      <w:r>
        <w:rPr>
          <w:rFonts w:ascii="Calibri" w:cs="Calibri" w:eastAsia="Calibri" w:hAnsi="Calibri"/>
          <w:color w:val="222222"/>
          <w:sz w:val="20"/>
          <w:szCs w:val="20"/>
        </w:rPr>
        <w:t xml:space="preserve">Prepared for: Best Face Forward Consultants, LLC</w:t>
      </w:r>
    </w:p>
    <w:p>
      <w:pPr>
        <w:spacing w:after="40"/>
        <w:jc w:val="center"/>
      </w:pPr>
      <w:r>
        <w:rPr>
          <w:rFonts w:ascii="Calibri" w:cs="Calibri" w:eastAsia="Calibri" w:hAnsi="Calibri"/>
          <w:color w:val="222222"/>
          <w:sz w:val="20"/>
          <w:szCs w:val="20"/>
        </w:rPr>
        <w:t xml:space="preserve">Prepared by: Jameal Clark, Founder &amp; Principal Consultant</w:t>
      </w:r>
    </w:p>
    <w:p>
      <w:pPr>
        <w:jc w:val="center"/>
      </w:pPr>
      <w:r>
        <w:rPr>
          <w:rFonts w:ascii="Calibri" w:cs="Calibri" w:eastAsia="Calibri" w:hAnsi="Calibri"/>
          <w:color w:val="999999"/>
          <w:sz w:val="20"/>
          <w:szCs w:val="20"/>
        </w:rPr>
        <w:t xml:space="preserve">Version 1.0 — July 2026</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1. Executive Summary &amp; Compliance Standard</w:t>
      </w:r>
    </w:p>
    <w:p>
      <w:pPr>
        <w:spacing w:after="160" w:line="276"/>
      </w:pPr>
      <w:r>
        <w:rPr>
          <w:rFonts w:ascii="Calibri" w:cs="Calibri" w:eastAsia="Calibri" w:hAnsi="Calibri"/>
          <w:color w:val="222222"/>
          <w:sz w:val="21"/>
          <w:szCs w:val="21"/>
        </w:rPr>
        <w:t xml:space="preserve">Expense IQ™ is a multi-tenant financial management platform serving small businesses, nonprofits, and grant-funded organizations. Its core promise is a single, unbroken chain of custody for every dollar: from the moment it is captured (a photographed receipt, an imported bank line, a logged mile, a travel expense) to the moment it appears, correctly categorized, on a compliant financial statement or IRS filing.</w:t>
      </w:r>
    </w:p>
    <w:p>
      <w:pPr>
        <w:spacing w:after="160" w:line="276"/>
      </w:pPr>
      <w:r>
        <w:rPr>
          <w:rFonts w:ascii="Calibri" w:cs="Calibri" w:eastAsia="Calibri" w:hAnsi="Calibri"/>
          <w:color w:val="222222"/>
          <w:sz w:val="21"/>
          <w:szCs w:val="21"/>
        </w:rPr>
        <w:t xml:space="preserve">This document exists because that chain of custody is the entire value proposition. A platform that captures receipts beautifully but posts them to the wrong account, or that tracks mileage but can't produce an audit-ready log, has failed at its actual job. Every section below is written to protect that chain.</w:t>
      </w:r>
    </w:p>
    <w:p>
      <w:pPr>
        <w:pStyle w:val="Heading2"/>
        <w:spacing w:after="140" w:before="320"/>
      </w:pPr>
      <w:r>
        <w:rPr>
          <w:rFonts w:ascii="Calibri" w:cs="Calibri" w:eastAsia="Calibri" w:hAnsi="Calibri"/>
          <w:b/>
          <w:bCs/>
          <w:color w:val="0F2A1E"/>
          <w:sz w:val="26"/>
          <w:szCs w:val="26"/>
        </w:rPr>
        <w:t xml:space="preserve">1.1 Compliance Standards Baked Into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Standard</w:t>
            </w:r>
          </w:p>
        </w:tc>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Applies To</w:t>
            </w:r>
          </w:p>
        </w:tc>
        <w:tc>
          <w:tcPr>
            <w:tcW w:type="dxa" w:w="41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Architectural Requirement</w:t>
            </w:r>
          </w:p>
        </w:tc>
      </w:tr>
      <w:tr>
        <w:tc>
          <w:tcPr>
            <w:tcW w:type="dxa" w:w="28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2 CFR Part 200 (Uniform Guidance)</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Grant-funded orgs</w:t>
            </w:r>
          </w:p>
        </w:tc>
        <w:tc>
          <w:tcPr>
            <w:tcW w:type="dxa" w:w="4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 expenses must be tagged allowable/unallowable at point of posting; indirect cost rate applied automatically; audit trail immutable</w:t>
            </w:r>
          </w:p>
        </w:tc>
      </w:tr>
      <w:tr>
        <w:tc>
          <w:tcPr>
            <w:tcW w:type="dxa" w:w="28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IRS Schedule C recordkeeping</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Sole proprietors / SMB</w:t>
            </w:r>
          </w:p>
        </w:tc>
        <w:tc>
          <w:tcPr>
            <w:tcW w:type="dxa" w:w="4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Every expense account must map 1:1 to a Schedule C line; mileage log must meet contemporaneous record standard</w:t>
            </w:r>
          </w:p>
        </w:tc>
      </w:tr>
      <w:tr>
        <w:tc>
          <w:tcPr>
            <w:tcW w:type="dxa" w:w="28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IRS Form 990 functional expense reporting</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Nonprofits</w:t>
            </w:r>
          </w:p>
        </w:tc>
        <w:tc>
          <w:tcPr>
            <w:tcW w:type="dxa" w:w="4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Every expense must carry a Program / Management &amp; General / Fundraising allocation, not just a GL account</w:t>
            </w:r>
          </w:p>
        </w:tc>
      </w:tr>
      <w:tr>
        <w:tc>
          <w:tcPr>
            <w:tcW w:type="dxa" w:w="28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GAAP fund accounting</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Nonprofits</w:t>
            </w:r>
          </w:p>
        </w:tc>
        <w:tc>
          <w:tcPr>
            <w:tcW w:type="dxa" w:w="4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Restricted vs. unrestricted net assets must be tracked at the transaction level, not just reported at period end</w:t>
            </w:r>
          </w:p>
        </w:tc>
      </w:tr>
      <w:tr>
        <w:tc>
          <w:tcPr>
            <w:tcW w:type="dxa" w:w="28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SOC2-aligned security practices</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All orgs</w:t>
            </w:r>
          </w:p>
        </w:tc>
        <w:tc>
          <w:tcPr>
            <w:tcW w:type="dxa" w:w="4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Encryption at rest/in transit, MFA, RBAC, immutable audit log, org-level data isolation (see Section 8)</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8F" w:sz="4"/>
              <w:left w:val="single" w:color="E85D8F" w:sz="24"/>
              <w:bottom w:val="single" w:color="E85D8F" w:sz="4"/>
              <w:right w:val="single" w:color="E85D8F"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Non-Negotiable Design Rule</w:t>
            </w:r>
          </w:p>
          <w:p>
            <w:r>
              <w:rPr>
                <w:rFonts w:ascii="Calibri" w:cs="Calibri" w:eastAsia="Calibri" w:hAnsi="Calibri"/>
                <w:color w:val="222222"/>
                <w:sz w:val="20"/>
                <w:szCs w:val="20"/>
              </w:rPr>
              <w:t xml:space="preserve">No module may write a financial fact directly to a report. Every module writes to the Ledger; every report reads from the Ledger. This is what makes the numbers trustworthy — there is exactly one source of truth.</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2. System Integration Flow — The Accuracy Spine</w:t>
      </w:r>
    </w:p>
    <w:p>
      <w:pPr>
        <w:spacing w:after="160" w:line="276"/>
      </w:pPr>
      <w:r>
        <w:rPr>
          <w:rFonts w:ascii="Calibri" w:cs="Calibri" w:eastAsia="Calibri" w:hAnsi="Calibri"/>
          <w:color w:val="222222"/>
          <w:sz w:val="21"/>
          <w:szCs w:val="21"/>
        </w:rPr>
        <w:t xml:space="preserve">This is the single most important section in this document. It is the rule that everything else exists to enforce: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24"/>
              <w:bottom w:val="single" w:color="1B4332" w:sz="4"/>
              <w:right w:val="single" w:color="1B4332"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The One Rule</w:t>
            </w:r>
          </w:p>
          <w:p>
            <w:r>
              <w:rPr>
                <w:rFonts w:ascii="Calibri" w:cs="Calibri" w:eastAsia="Calibri" w:hAnsi="Calibri"/>
                <w:color w:val="222222"/>
                <w:sz w:val="20"/>
                <w:szCs w:val="20"/>
              </w:rPr>
              <w:t xml:space="preserve">Every financial event — regardless of which module it originates from — must resolve to exactly one row in the Transactions table, mapped to exactly one Chart of Accounts code, before it is considered “posted.” No module is permitted to bypass this path.</w:t>
            </w:r>
          </w:p>
        </w:tc>
      </w:tr>
    </w:tbl>
    <w:p>
      <w:pPr>
        <w:spacing w:after="120"/>
      </w:pPr>
    </w:p>
    <w:p>
      <w:pPr>
        <w:pStyle w:val="Heading2"/>
        <w:spacing w:after="140" w:before="320"/>
      </w:pPr>
      <w:r>
        <w:rPr>
          <w:rFonts w:ascii="Calibri" w:cs="Calibri" w:eastAsia="Calibri" w:hAnsi="Calibri"/>
          <w:b/>
          <w:bCs/>
          <w:color w:val="0F2A1E"/>
          <w:sz w:val="26"/>
          <w:szCs w:val="26"/>
        </w:rPr>
        <w:t xml:space="preserve">2.1 The Canonical Path (applies to receipts, bank imports, mileage, travel, reimbursements)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900"/>
        <w:gridCol w:w="2560"/>
      </w:tblGrid>
      <w:tr>
        <w:trPr>
          <w:tblHeader/>
        </w:trPr>
        <w:tc>
          <w:tcPr>
            <w:tcW w:type="dxa" w:w="7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Step</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Action</w:t>
            </w:r>
          </w:p>
        </w:tc>
        <w:tc>
          <w:tcPr>
            <w:tcW w:type="dxa" w:w="39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System Component</w:t>
            </w:r>
          </w:p>
        </w:tc>
        <w:tc>
          <w:tcPr>
            <w:tcW w:type="dxa" w:w="25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Failure Behavior</w:t>
            </w:r>
          </w:p>
        </w:tc>
      </w:tr>
      <w:tr>
        <w:tc>
          <w:tcPr>
            <w:tcW w:type="dxa" w:w="7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1</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Capture</w:t>
            </w:r>
          </w:p>
        </w:tc>
        <w:tc>
          <w:tcPr>
            <w:tcW w:type="dxa" w:w="39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Camera / Upload / Bank Feed / Mileage Log / Travel Entry</w:t>
            </w:r>
          </w:p>
        </w:tc>
        <w:tc>
          <w:tcPr>
            <w:tcW w:type="dxa" w:w="25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Reject unsupported file types; log capture source</w:t>
            </w:r>
          </w:p>
        </w:tc>
      </w:tr>
      <w:tr>
        <w:tc>
          <w:tcPr>
            <w:tcW w:type="dxa" w:w="7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2</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Extract</w:t>
            </w:r>
          </w:p>
        </w:tc>
        <w:tc>
          <w:tcPr>
            <w:tcW w:type="dxa" w:w="39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OCR &amp; AI Extraction Engine (Sec. 4)</w:t>
            </w:r>
          </w:p>
        </w:tc>
        <w:tc>
          <w:tcPr>
            <w:tcW w:type="dxa" w:w="25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If OCR confidence &lt; threshold → route to Human Review Queue</w:t>
            </w:r>
          </w:p>
        </w:tc>
      </w:tr>
      <w:tr>
        <w:tc>
          <w:tcPr>
            <w:tcW w:type="dxa" w:w="7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3</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De-duplicate</w:t>
            </w:r>
          </w:p>
        </w:tc>
        <w:tc>
          <w:tcPr>
            <w:tcW w:type="dxa" w:w="39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Duplicate Detection (vendor+date+amount fuzzy match)</w:t>
            </w:r>
          </w:p>
        </w:tc>
        <w:tc>
          <w:tcPr>
            <w:tcW w:type="dxa" w:w="25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If match found → flag, do not auto-post</w:t>
            </w:r>
          </w:p>
        </w:tc>
      </w:tr>
      <w:tr>
        <w:tc>
          <w:tcPr>
            <w:tcW w:type="dxa" w:w="7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4</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Categorize</w:t>
            </w:r>
          </w:p>
        </w:tc>
        <w:tc>
          <w:tcPr>
            <w:tcW w:type="dxa" w:w="39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AI Categorization Engine (Sec. 5)</w:t>
            </w:r>
          </w:p>
        </w:tc>
        <w:tc>
          <w:tcPr>
            <w:tcW w:type="dxa" w:w="25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If no rule/model match → route to Review Queue, never auto-post uncategorized</w:t>
            </w:r>
          </w:p>
        </w:tc>
      </w:tr>
      <w:tr>
        <w:tc>
          <w:tcPr>
            <w:tcW w:type="dxa" w:w="7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5</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Validate</w:t>
            </w:r>
          </w:p>
        </w:tc>
        <w:tc>
          <w:tcPr>
            <w:tcW w:type="dxa" w:w="39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Grant/Client/Project allowability + budget check</w:t>
            </w:r>
          </w:p>
        </w:tc>
        <w:tc>
          <w:tcPr>
            <w:tcW w:type="dxa" w:w="25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If disallowed → block posting, raise Compliance Warning (does not delete data)</w:t>
            </w:r>
          </w:p>
        </w:tc>
      </w:tr>
      <w:tr>
        <w:tc>
          <w:tcPr>
            <w:tcW w:type="dxa" w:w="7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6</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Approve</w:t>
            </w:r>
          </w:p>
        </w:tc>
        <w:tc>
          <w:tcPr>
            <w:tcW w:type="dxa" w:w="39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Role-based approval gate (if org requires)</w:t>
            </w:r>
          </w:p>
        </w:tc>
        <w:tc>
          <w:tcPr>
            <w:tcW w:type="dxa" w:w="25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If required and missing → transaction stays in Pending state</w:t>
            </w:r>
          </w:p>
        </w:tc>
      </w:tr>
      <w:tr>
        <w:tc>
          <w:tcPr>
            <w:tcW w:type="dxa" w:w="7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7</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Post</w:t>
            </w:r>
          </w:p>
        </w:tc>
        <w:tc>
          <w:tcPr>
            <w:tcW w:type="dxa" w:w="39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Write to Transactions table + Chart of Accounts code</w:t>
            </w:r>
          </w:p>
        </w:tc>
        <w:tc>
          <w:tcPr>
            <w:tcW w:type="dxa" w:w="25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Atomic operation — partial posts are not permitted</w:t>
            </w:r>
          </w:p>
        </w:tc>
      </w:tr>
      <w:tr>
        <w:tc>
          <w:tcPr>
            <w:tcW w:type="dxa" w:w="7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8</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Propagate</w:t>
            </w:r>
          </w:p>
        </w:tc>
        <w:tc>
          <w:tcPr>
            <w:tcW w:type="dxa" w:w="39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Ledger triggers Dashboard, Reports, Grant Burn Rate, Budget vs. Actual</w:t>
            </w:r>
          </w:p>
        </w:tc>
        <w:tc>
          <w:tcPr>
            <w:tcW w:type="dxa" w:w="25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Read-only consumers; none may write back to Transactions directly</w:t>
            </w:r>
          </w:p>
        </w:tc>
      </w:tr>
    </w:tbl>
    <w:p>
      <w:pPr>
        <w:spacing w:after="120"/>
      </w:pPr>
    </w:p>
    <w:p>
      <w:pPr>
        <w:pStyle w:val="Heading2"/>
        <w:spacing w:after="140" w:before="320"/>
      </w:pPr>
      <w:r>
        <w:rPr>
          <w:rFonts w:ascii="Calibri" w:cs="Calibri" w:eastAsia="Calibri" w:hAnsi="Calibri"/>
          <w:b/>
          <w:bCs/>
          <w:color w:val="0F2A1E"/>
          <w:sz w:val="26"/>
          <w:szCs w:val="26"/>
        </w:rPr>
        <w:t xml:space="preserve">2.2 Why Mileage and Travel Are Not Side Modules</w:t>
      </w:r>
    </w:p>
    <w:p>
      <w:pPr>
        <w:spacing w:after="160" w:line="276"/>
      </w:pPr>
      <w:r>
        <w:rPr>
          <w:rFonts w:ascii="Calibri" w:cs="Calibri" w:eastAsia="Calibri" w:hAnsi="Calibri"/>
          <w:color w:val="222222"/>
          <w:sz w:val="21"/>
          <w:szCs w:val="21"/>
        </w:rPr>
        <w:t xml:space="preserve">A common architecture mistake is treating Mileage and Travel as standalone logs that produce a PDF at tax time. In Expense IQ™, every completed mileage trip and every travel expense line is itself a transaction: it is costed (miles × current IRS rate, or actual amount), assigned a Chart of Accounts code (typically Car &amp; Truck Expenses / Schedule C Line 9, or Travel / Line 24), and posted to the same Ledger as a receipt would be. This is the only way the Executive Dashboard's ‘Net Cash Flow’ and ‘Tax Readiness Score’ can be accurate — if mileage lived outside the ledger, those numbers would be wrong by definition.</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3. Database Schema — Core Tables</w:t>
      </w:r>
    </w:p>
    <w:p>
      <w:pPr>
        <w:spacing w:after="160" w:line="276"/>
      </w:pPr>
      <w:r>
        <w:rPr>
          <w:rFonts w:ascii="Calibri" w:cs="Calibri" w:eastAsia="Calibri" w:hAnsi="Calibri"/>
          <w:color w:val="222222"/>
          <w:sz w:val="21"/>
          <w:szCs w:val="21"/>
        </w:rPr>
        <w:t xml:space="preserve">Below are the core tables required to support the integration flow in Section 2. Field lists are the minimum required set; developers may add technical fields (created_at, updated_at, soft-delete flags) as standard practice.</w:t>
      </w:r>
    </w:p>
    <w:p>
      <w:pPr>
        <w:pStyle w:val="Heading2"/>
        <w:spacing w:after="140" w:before="320"/>
      </w:pPr>
      <w:r>
        <w:rPr>
          <w:rFonts w:ascii="Calibri" w:cs="Calibri" w:eastAsia="Calibri" w:hAnsi="Calibri"/>
          <w:b/>
          <w:bCs/>
          <w:color w:val="0F2A1E"/>
          <w:sz w:val="26"/>
          <w:szCs w:val="26"/>
        </w:rPr>
        <w:t xml:space="preserve">3.1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org_id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Primary tenant key — every other table below is scoped by org_id</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org_name</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string</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org_type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small_business | nonprofit | contractor | daycare | logistics | insurance_agent</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coa_template</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smb | nonprofit — drives which Chart of Accounts loads (Sec. 3.4)</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ein</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string</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Used for 1099/990 filings</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fiscal_year_start</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date</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bl>
    <w:p>
      <w:pPr>
        <w:spacing w:after="120"/>
      </w:pPr>
    </w:p>
    <w:p>
      <w:pPr>
        <w:pStyle w:val="Heading2"/>
        <w:spacing w:after="140" w:before="320"/>
      </w:pPr>
      <w:r>
        <w:rPr>
          <w:rFonts w:ascii="Calibri" w:cs="Calibri" w:eastAsia="Calibri" w:hAnsi="Calibri"/>
          <w:b/>
          <w:bCs/>
          <w:color w:val="0F2A1E"/>
          <w:sz w:val="26"/>
          <w:szCs w:val="26"/>
        </w:rPr>
        <w:t xml:space="preserve">3.2 users /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user_id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org_id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 user can belong to multiple orgs via org_users join table</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role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owner | bookkeeper | tax_professional | grant_manager | employee | read_only</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mfa_enabled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boolean</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Enforced true for owner/bookkeeper roles</w:t>
            </w:r>
          </w:p>
        </w:tc>
      </w:tr>
    </w:tbl>
    <w:p>
      <w:pPr>
        <w:spacing w:after="120"/>
      </w:pPr>
    </w:p>
    <w:p>
      <w:pPr>
        <w:pStyle w:val="Heading2"/>
        <w:spacing w:after="140" w:before="320"/>
      </w:pPr>
      <w:r>
        <w:rPr>
          <w:rFonts w:ascii="Calibri" w:cs="Calibri" w:eastAsia="Calibri" w:hAnsi="Calibri"/>
          <w:b/>
          <w:bCs/>
          <w:color w:val="0F2A1E"/>
          <w:sz w:val="26"/>
          <w:szCs w:val="26"/>
        </w:rPr>
        <w:t xml:space="preserve">3.3 transactions (the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3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transaction_id</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org_id</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source_type</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receipt | bank_import | mileage | travel | reimbursement | manual | reconciliation</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source_id</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 nullable)</w:t>
            </w:r>
          </w:p>
        </w:tc>
        <w:tc>
          <w:tcPr>
            <w:tcW w:type="dxa" w:w="4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Points back to receipts.id, mileage_trips.id, etc.</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coa_id</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Chart of Accounts code — required, never null on a posted transaction</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amount</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decimal(12,2)</w:t>
            </w:r>
          </w:p>
        </w:tc>
        <w:tc>
          <w:tcPr>
            <w:tcW w:type="dxa" w:w="4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transaction_type</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income | expense | transfer | refund | owner_contribution | owner_draw</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vendor_id</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 nullable)</w:t>
            </w:r>
          </w:p>
        </w:tc>
        <w:tc>
          <w:tcPr>
            <w:tcW w:type="dxa" w:w="4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client_id / project_id</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 nullable)</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For billable expense tracking</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grant_id / program_id / fund_id</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 nullable)</w:t>
            </w:r>
          </w:p>
        </w:tc>
        <w:tc>
          <w:tcPr>
            <w:tcW w:type="dxa" w:w="4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For nonprofit/grant allocation</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status</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pending_review | pending_approval | posted | reconciled | void</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allowability</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 nullable</w:t>
            </w:r>
          </w:p>
        </w:tc>
        <w:tc>
          <w:tcPr>
            <w:tcW w:type="dxa" w:w="4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allowable | unallowable — required if grant_id is set</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posted_at</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timestamp</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Null until status = posted; immutable once set</w:t>
            </w:r>
          </w:p>
        </w:tc>
      </w:tr>
    </w:tbl>
    <w:p>
      <w:pPr>
        <w:spacing w:after="120"/>
      </w:pPr>
    </w:p>
    <w:p>
      <w:pPr>
        <w:pStyle w:val="Heading2"/>
        <w:spacing w:after="140" w:before="320"/>
      </w:pPr>
      <w:r>
        <w:rPr>
          <w:rFonts w:ascii="Calibri" w:cs="Calibri" w:eastAsia="Calibri" w:hAnsi="Calibri"/>
          <w:b/>
          <w:bCs/>
          <w:color w:val="0F2A1E"/>
          <w:sz w:val="26"/>
          <w:szCs w:val="26"/>
        </w:rPr>
        <w:t xml:space="preserve">3.4 chart_of_accounts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coa_id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org_id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account_name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string</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e.g. “Office Supplies”</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account_category</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SMB: Assets/Liabilities/Equity/Income/COGS/Op.Exp/Other. Nonprofit: Assets/Liabilities/Revenue &amp; Support/Program/M&amp;G/Fundraising/Restricted Net Assets/Unrestricted Net Assets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schedule_c_line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string, nullable</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Populated only when org.coa_template = smb</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form_990_function</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enum, nullable</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program | management_general | fundraising — populated only when org.coa_template = nonprofit</w:t>
            </w:r>
          </w:p>
        </w:tc>
      </w:tr>
    </w:tbl>
    <w:p>
      <w:pPr>
        <w:spacing w:after="120"/>
      </w:pPr>
    </w:p>
    <w:p>
      <w:pPr>
        <w:pStyle w:val="Heading2"/>
        <w:spacing w:after="140" w:before="320"/>
      </w:pPr>
      <w:r>
        <w:rPr>
          <w:rFonts w:ascii="Calibri" w:cs="Calibri" w:eastAsia="Calibri" w:hAnsi="Calibri"/>
          <w:b/>
          <w:bCs/>
          <w:color w:val="0F2A1E"/>
          <w:sz w:val="26"/>
          <w:szCs w:val="26"/>
        </w:rPr>
        <w:t xml:space="preserve">3.5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receipt_id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org_id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file_url</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string</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Stored image/PDF</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ocr_vendor / ocr_date / ocr_subtotal / ocr_tax / ocr_tip / ocr_total / ocr_payment_method / ocr_receipt_number</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Raw OCR output, retained even after correction</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confidence_score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decimal(3,2)</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0.00–1.00, see Sec. 4.3</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duplicate_of</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 nullable)</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Set when Duplicate Detection finds a match</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review_status</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auto_posted | pending_review | approved | rejected</w:t>
            </w:r>
          </w:p>
        </w:tc>
      </w:tr>
    </w:tbl>
    <w:p>
      <w:pPr>
        <w:spacing w:after="120"/>
      </w:pPr>
    </w:p>
    <w:p>
      <w:pPr>
        <w:pStyle w:val="Heading2"/>
        <w:spacing w:after="140" w:before="320"/>
      </w:pPr>
      <w:r>
        <w:rPr>
          <w:rFonts w:ascii="Calibri" w:cs="Calibri" w:eastAsia="Calibri" w:hAnsi="Calibri"/>
          <w:b/>
          <w:bCs/>
          <w:color w:val="0F2A1E"/>
          <w:sz w:val="26"/>
          <w:szCs w:val="26"/>
        </w:rPr>
        <w:t xml:space="preserve">3.6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org_id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funder_name / award_amount / grant_period_start / grant_period_end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indirect_cost_rate</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decimal(5,4)</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Applied automatically to eligible direct costs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match_requirement</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decimal(12,2)</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Cash or in-kind match owed</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budget_line_items</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table (1:many)</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category, approved_amount, spent_to_date (computed from transactions)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remaining_balance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computed</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award_amount − SUM(transactions where allowability=allowable)</w:t>
            </w:r>
          </w:p>
        </w:tc>
      </w:tr>
    </w:tbl>
    <w:p>
      <w:pPr>
        <w:spacing w:after="120"/>
      </w:pPr>
    </w:p>
    <w:p>
      <w:pPr>
        <w:pStyle w:val="Heading2"/>
        <w:spacing w:after="140" w:before="320"/>
      </w:pPr>
      <w:r>
        <w:rPr>
          <w:rFonts w:ascii="Calibri" w:cs="Calibri" w:eastAsia="Calibri" w:hAnsi="Calibri"/>
          <w:b/>
          <w:bCs/>
          <w:color w:val="0F2A1E"/>
          <w:sz w:val="26"/>
          <w:szCs w:val="26"/>
        </w:rPr>
        <w:t xml:space="preserve">3.7 mileage_trips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trip_id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org_id / user_id / vehicle_id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trip_date, start_location, destination, business_purpose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Required for IRS-compliant log (Sec. 6.2)</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start_odometer / end_odometer / total_miles</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decimal</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total_miles = end − start, or GPS-derived</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mileage_rate_applied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decimal(5,3)</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Looked up from irs_mileage_rates table by trip_date year</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deduction_amount</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computed</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total_miles × mileage_rate_applied</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linked_transaction_id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Set once posted to Ledger — see Sec. 2.2</w:t>
            </w:r>
          </w:p>
        </w:tc>
      </w:tr>
    </w:tbl>
    <w:p>
      <w:pPr>
        <w:spacing w:after="120"/>
      </w:pPr>
    </w:p>
    <w:p>
      <w:pPr>
        <w:pStyle w:val="Heading2"/>
        <w:spacing w:after="140" w:before="320"/>
      </w:pPr>
      <w:r>
        <w:rPr>
          <w:rFonts w:ascii="Calibri" w:cs="Calibri" w:eastAsia="Calibri" w:hAnsi="Calibri"/>
          <w:b/>
          <w:bCs/>
          <w:color w:val="0F2A1E"/>
          <w:sz w:val="26"/>
          <w:szCs w:val="26"/>
        </w:rPr>
        <w:t xml:space="preserve">3.8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4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log_id</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(PK)</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org_id / user_id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UUID (FK)</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action</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enum</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create | edit | approve | reject | post | void | export | login | permission_change</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entity_type / entity_id</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varies</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What was acted on</w:t>
            </w:r>
          </w:p>
        </w:tc>
      </w:tr>
      <w:tr>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before_value / after_value</w:t>
            </w:r>
          </w:p>
        </w:tc>
        <w:tc>
          <w:tcPr>
            <w:tcW w:type="dxa" w:w="2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JSON</w:t>
            </w:r>
          </w:p>
        </w:tc>
        <w:tc>
          <w:tcPr>
            <w:tcW w:type="dxa" w:w="4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Field-level diff for financial edits</w:t>
            </w:r>
          </w:p>
        </w:tc>
      </w:tr>
      <w:tr>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timestamp</w:t>
            </w:r>
          </w:p>
        </w:tc>
        <w:tc>
          <w:tcPr>
            <w:tcW w:type="dxa" w:w="2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timestamp</w:t>
            </w:r>
          </w:p>
        </w:tc>
        <w:tc>
          <w:tcPr>
            <w:tcW w:type="dxa" w:w="4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Immutable — no update or delete permitted on this table, ever</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4. OCR &amp; AI Extraction Engine</w:t>
      </w:r>
    </w:p>
    <w:p>
      <w:pPr>
        <w:pStyle w:val="Heading2"/>
        <w:spacing w:after="140" w:before="320"/>
      </w:pPr>
      <w:r>
        <w:rPr>
          <w:rFonts w:ascii="Calibri" w:cs="Calibri" w:eastAsia="Calibri" w:hAnsi="Calibri"/>
          <w:b/>
          <w:bCs/>
          <w:color w:val="0F2A1E"/>
          <w:sz w:val="26"/>
          <w:szCs w:val="26"/>
        </w:rPr>
        <w:t xml:space="preserve">4.1 Accepted Inputs</w:t>
      </w:r>
    </w:p>
    <w:p>
      <w:pPr>
        <w:pStyle w:val="ListParagraph"/>
        <w:numPr>
          <w:ilvl w:val="0"/>
          <w:numId w:val="1"/>
        </w:numPr>
        <w:spacing w:after="80"/>
        <w:ind w:left="360"/>
      </w:pPr>
      <w:r>
        <w:rPr>
          <w:rFonts w:ascii="Calibri" w:cs="Calibri" w:eastAsia="Calibri" w:hAnsi="Calibri"/>
          <w:color w:val="222222"/>
          <w:sz w:val="21"/>
          <w:szCs w:val="21"/>
        </w:rPr>
        <w:t xml:space="preserve">Camera capture (JPG/HEIC) — mobile app</w:t>
      </w:r>
    </w:p>
    <w:p>
      <w:pPr>
        <w:pStyle w:val="ListParagraph"/>
        <w:numPr>
          <w:ilvl w:val="0"/>
          <w:numId w:val="1"/>
        </w:numPr>
        <w:spacing w:after="80"/>
        <w:ind w:left="360"/>
      </w:pPr>
      <w:r>
        <w:rPr>
          <w:rFonts w:ascii="Calibri" w:cs="Calibri" w:eastAsia="Calibri" w:hAnsi="Calibri"/>
          <w:color w:val="222222"/>
          <w:sz w:val="21"/>
          <w:szCs w:val="21"/>
        </w:rPr>
        <w:t xml:space="preserve">File upload: PDF, JPG, PNG, HEIC</w:t>
      </w:r>
    </w:p>
    <w:p>
      <w:pPr>
        <w:pStyle w:val="ListParagraph"/>
        <w:numPr>
          <w:ilvl w:val="0"/>
          <w:numId w:val="1"/>
        </w:numPr>
        <w:spacing w:after="80"/>
        <w:ind w:left="360"/>
      </w:pPr>
      <w:r>
        <w:rPr>
          <w:rFonts w:ascii="Calibri" w:cs="Calibri" w:eastAsia="Calibri" w:hAnsi="Calibri"/>
          <w:color w:val="222222"/>
          <w:sz w:val="21"/>
          <w:szCs w:val="21"/>
        </w:rPr>
        <w:t xml:space="preserve">Bulk upload (zip of images/PDFs, processed as a queue, one receipt per file)</w:t>
      </w:r>
    </w:p>
    <w:p>
      <w:pPr>
        <w:pStyle w:val="ListParagraph"/>
        <w:numPr>
          <w:ilvl w:val="0"/>
          <w:numId w:val="1"/>
        </w:numPr>
        <w:spacing w:after="80"/>
        <w:ind w:left="360"/>
      </w:pPr>
      <w:r>
        <w:rPr>
          <w:rFonts w:ascii="Calibri" w:cs="Calibri" w:eastAsia="Calibri" w:hAnsi="Calibri"/>
          <w:color w:val="222222"/>
          <w:sz w:val="21"/>
          <w:szCs w:val="21"/>
        </w:rPr>
        <w:t xml:space="preserve">Email-in (forward to a unique per-org address; attachments auto-queued)</w:t>
      </w:r>
    </w:p>
    <w:p>
      <w:pPr>
        <w:spacing w:after="120"/>
      </w:pPr>
    </w:p>
    <w:p>
      <w:pPr>
        <w:pStyle w:val="Heading2"/>
        <w:spacing w:after="140" w:before="320"/>
      </w:pPr>
      <w:r>
        <w:rPr>
          <w:rFonts w:ascii="Calibri" w:cs="Calibri" w:eastAsia="Calibri" w:hAnsi="Calibri"/>
          <w:b/>
          <w:bCs/>
          <w:color w:val="0F2A1E"/>
          <w:sz w:val="26"/>
          <w:szCs w:val="26"/>
        </w:rPr>
        <w:t xml:space="preserve">4.2 Required Extraction Fields</w:t>
      </w:r>
    </w:p>
    <w:p>
      <w:pPr>
        <w:spacing w:after="160" w:line="276"/>
      </w:pPr>
      <w:r>
        <w:rPr>
          <w:rFonts w:ascii="Calibri" w:cs="Calibri" w:eastAsia="Calibri" w:hAnsi="Calibri"/>
          <w:color w:val="222222"/>
          <w:sz w:val="21"/>
          <w:szCs w:val="21"/>
        </w:rPr>
        <w:t xml:space="preserve">Every receipt must attempt extraction of all eight fields below. A missing field does not block posting, but lowers confidence score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Required for Posting?</w:t>
            </w:r>
          </w:p>
        </w:tc>
        <w:tc>
          <w:tcPr>
            <w:tcW w:type="dxa" w:w="37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Fallback if Missing</w:t>
            </w:r>
          </w:p>
        </w:tc>
      </w:tr>
      <w:tr>
        <w:tc>
          <w:tcPr>
            <w:tcW w:type="dxa" w:w="3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Vendor</w:t>
            </w:r>
          </w:p>
        </w:tc>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Yes</w:t>
            </w:r>
          </w:p>
        </w:tc>
        <w:tc>
          <w:tcPr>
            <w:tcW w:type="dxa" w:w="3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Route to Human Review Queue</w:t>
            </w:r>
          </w:p>
        </w:tc>
      </w:tr>
      <w:tr>
        <w:tc>
          <w:tcPr>
            <w:tcW w:type="dxa" w:w="3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Date</w:t>
            </w:r>
          </w:p>
        </w:tc>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Yes</w:t>
            </w:r>
          </w:p>
        </w:tc>
        <w:tc>
          <w:tcPr>
            <w:tcW w:type="dxa" w:w="3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Route to Human Review Queue</w:t>
            </w:r>
          </w:p>
        </w:tc>
      </w:tr>
      <w:tr>
        <w:tc>
          <w:tcPr>
            <w:tcW w:type="dxa" w:w="3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Total</w:t>
            </w:r>
          </w:p>
        </w:tc>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Yes</w:t>
            </w:r>
          </w:p>
        </w:tc>
        <w:tc>
          <w:tcPr>
            <w:tcW w:type="dxa" w:w="3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Route to Human Review Queue</w:t>
            </w:r>
          </w:p>
        </w:tc>
      </w:tr>
      <w:tr>
        <w:tc>
          <w:tcPr>
            <w:tcW w:type="dxa" w:w="3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Subtotal</w:t>
            </w:r>
          </w:p>
        </w:tc>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No</w:t>
            </w:r>
          </w:p>
        </w:tc>
        <w:tc>
          <w:tcPr>
            <w:tcW w:type="dxa" w:w="3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Default to Total if absent</w:t>
            </w:r>
          </w:p>
        </w:tc>
      </w:tr>
      <w:tr>
        <w:tc>
          <w:tcPr>
            <w:tcW w:type="dxa" w:w="3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Sales Tax</w:t>
            </w:r>
          </w:p>
        </w:tc>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No</w:t>
            </w:r>
          </w:p>
        </w:tc>
        <w:tc>
          <w:tcPr>
            <w:tcW w:type="dxa" w:w="3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Default to $0.00</w:t>
            </w:r>
          </w:p>
        </w:tc>
      </w:tr>
      <w:tr>
        <w:tc>
          <w:tcPr>
            <w:tcW w:type="dxa" w:w="3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Tip</w:t>
            </w:r>
          </w:p>
        </w:tc>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No</w:t>
            </w:r>
          </w:p>
        </w:tc>
        <w:tc>
          <w:tcPr>
            <w:tcW w:type="dxa" w:w="3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Default to $0.00</w:t>
            </w:r>
          </w:p>
        </w:tc>
      </w:tr>
      <w:tr>
        <w:tc>
          <w:tcPr>
            <w:tcW w:type="dxa" w:w="3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Payment Method</w:t>
            </w:r>
          </w:p>
        </w:tc>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No</w:t>
            </w:r>
          </w:p>
        </w:tc>
        <w:tc>
          <w:tcPr>
            <w:tcW w:type="dxa" w:w="3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Default to “Unspecified”, flagged for user</w:t>
            </w:r>
          </w:p>
        </w:tc>
      </w:tr>
      <w:tr>
        <w:tc>
          <w:tcPr>
            <w:tcW w:type="dxa" w:w="3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Receipt Number</w:t>
            </w:r>
          </w:p>
        </w:tc>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No</w:t>
            </w:r>
          </w:p>
        </w:tc>
        <w:tc>
          <w:tcPr>
            <w:tcW w:type="dxa" w:w="3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Stored blank; used only for duplicate matching if present</w:t>
            </w:r>
          </w:p>
        </w:tc>
      </w:tr>
    </w:tbl>
    <w:p>
      <w:pPr>
        <w:spacing w:after="120"/>
      </w:pPr>
    </w:p>
    <w:p>
      <w:pPr>
        <w:pStyle w:val="Heading2"/>
        <w:spacing w:after="140" w:before="320"/>
      </w:pPr>
      <w:r>
        <w:rPr>
          <w:rFonts w:ascii="Calibri" w:cs="Calibri" w:eastAsia="Calibri" w:hAnsi="Calibri"/>
          <w:b/>
          <w:bCs/>
          <w:color w:val="0F2A1E"/>
          <w:sz w:val="26"/>
          <w:szCs w:val="26"/>
        </w:rPr>
        <w:t xml:space="preserve">4.3 Confidence Scoring Logic</w:t>
      </w:r>
    </w:p>
    <w:p>
      <w:pPr>
        <w:spacing w:after="160" w:line="276"/>
      </w:pPr>
      <w:r>
        <w:rPr>
          <w:rFonts w:ascii="Calibri" w:cs="Calibri" w:eastAsia="Calibri" w:hAnsi="Calibri"/>
          <w:color w:val="222222"/>
          <w:sz w:val="21"/>
          <w:szCs w:val="21"/>
        </w:rPr>
        <w:t xml:space="preserve">Confidence score = weighted average of per-field OCR certainty, adjusted by a penalty for missing required fields:</w:t>
      </w:r>
    </w:p>
    <w:p>
      <w:pPr>
        <w:pStyle w:val="ListParagraph"/>
        <w:numPr>
          <w:ilvl w:val="0"/>
          <w:numId w:val="1"/>
        </w:numPr>
        <w:spacing w:after="80"/>
        <w:ind w:left="360"/>
      </w:pPr>
      <w:r>
        <w:rPr>
          <w:rFonts w:ascii="Calibri" w:cs="Calibri" w:eastAsia="Calibri" w:hAnsi="Calibri"/>
          <w:color w:val="222222"/>
          <w:sz w:val="21"/>
          <w:szCs w:val="21"/>
        </w:rPr>
        <w:t xml:space="preserve">Vendor match certainty (weight 0.30)</w:t>
      </w:r>
    </w:p>
    <w:p>
      <w:pPr>
        <w:pStyle w:val="ListParagraph"/>
        <w:numPr>
          <w:ilvl w:val="0"/>
          <w:numId w:val="1"/>
        </w:numPr>
        <w:spacing w:after="80"/>
        <w:ind w:left="360"/>
      </w:pPr>
      <w:r>
        <w:rPr>
          <w:rFonts w:ascii="Calibri" w:cs="Calibri" w:eastAsia="Calibri" w:hAnsi="Calibri"/>
          <w:color w:val="222222"/>
          <w:sz w:val="21"/>
          <w:szCs w:val="21"/>
        </w:rPr>
        <w:t xml:space="preserve">Date parse certainty (weight 0.25)</w:t>
      </w:r>
    </w:p>
    <w:p>
      <w:pPr>
        <w:pStyle w:val="ListParagraph"/>
        <w:numPr>
          <w:ilvl w:val="0"/>
          <w:numId w:val="1"/>
        </w:numPr>
        <w:spacing w:after="80"/>
        <w:ind w:left="360"/>
      </w:pPr>
      <w:r>
        <w:rPr>
          <w:rFonts w:ascii="Calibri" w:cs="Calibri" w:eastAsia="Calibri" w:hAnsi="Calibri"/>
          <w:color w:val="222222"/>
          <w:sz w:val="21"/>
          <w:szCs w:val="21"/>
        </w:rPr>
        <w:t xml:space="preserve">Total amount parse certainty, cross-checked against Subtotal + Tax + Tip (weight 0.35)</w:t>
      </w:r>
    </w:p>
    <w:p>
      <w:pPr>
        <w:pStyle w:val="ListParagraph"/>
        <w:numPr>
          <w:ilvl w:val="0"/>
          <w:numId w:val="1"/>
        </w:numPr>
        <w:spacing w:after="80"/>
        <w:ind w:left="360"/>
      </w:pPr>
      <w:r>
        <w:rPr>
          <w:rFonts w:ascii="Calibri" w:cs="Calibri" w:eastAsia="Calibri" w:hAnsi="Calibri"/>
          <w:color w:val="222222"/>
          <w:sz w:val="21"/>
          <w:szCs w:val="21"/>
        </w:rPr>
        <w:t xml:space="preserve">Image quality score — blur/glare/crop detection (weight 0.10)</w:t>
      </w:r>
    </w:p>
    <w:p>
      <w:pPr>
        <w:pStyle w:val="ListParagraph"/>
        <w:numPr>
          <w:ilvl w:val="0"/>
          <w:numId w:val="1"/>
        </w:numPr>
        <w:spacing w:after="80"/>
        <w:ind w:left="360"/>
      </w:pPr>
      <w:r>
        <w:rPr>
          <w:rFonts w:ascii="Calibri" w:cs="Calibri" w:eastAsia="Calibri" w:hAnsi="Calibri"/>
          <w:color w:val="222222"/>
          <w:sz w:val="21"/>
          <w:szCs w:val="21"/>
        </w:rPr>
        <w:t xml:space="preserve">Penalty: −0.30 flat if any required field (Vendor/Date/Total) is missing entirely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Score Range</w:t>
            </w:r>
          </w:p>
        </w:tc>
        <w:tc>
          <w:tcPr>
            <w:tcW w:type="dxa" w:w="68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Routing</w:t>
            </w:r>
          </w:p>
        </w:tc>
      </w:tr>
      <w:tr>
        <w:tc>
          <w:tcPr>
            <w:tcW w:type="dxa" w:w="25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 0.85</w:t>
            </w:r>
          </w:p>
        </w:tc>
        <w:tc>
          <w:tcPr>
            <w:tcW w:type="dxa" w:w="68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Auto-populate transaction → proceed to Duplicate Detection (Sec. 2.1 Step 3)</w:t>
            </w:r>
          </w:p>
        </w:tc>
      </w:tr>
      <w:tr>
        <w:tc>
          <w:tcPr>
            <w:tcW w:type="dxa" w:w="25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0.60 – 0.84</w:t>
            </w:r>
          </w:p>
        </w:tc>
        <w:tc>
          <w:tcPr>
            <w:tcW w:type="dxa" w:w="68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Auto-populate but flag fields below field-level threshold for user confirmation</w:t>
            </w:r>
          </w:p>
        </w:tc>
      </w:tr>
      <w:tr>
        <w:tc>
          <w:tcPr>
            <w:tcW w:type="dxa" w:w="25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&lt; 0.60</w:t>
            </w:r>
          </w:p>
        </w:tc>
        <w:tc>
          <w:tcPr>
            <w:tcW w:type="dxa" w:w="68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Route entirely to Human Review Queue — no auto-post</w:t>
            </w:r>
          </w:p>
        </w:tc>
      </w:tr>
    </w:tbl>
    <w:p>
      <w:pPr>
        <w:spacing w:after="120"/>
      </w:pPr>
    </w:p>
    <w:p>
      <w:pPr>
        <w:pStyle w:val="Heading2"/>
        <w:spacing w:after="140" w:before="320"/>
      </w:pPr>
      <w:r>
        <w:rPr>
          <w:rFonts w:ascii="Calibri" w:cs="Calibri" w:eastAsia="Calibri" w:hAnsi="Calibri"/>
          <w:b/>
          <w:bCs/>
          <w:color w:val="0F2A1E"/>
          <w:sz w:val="26"/>
          <w:szCs w:val="26"/>
        </w:rPr>
        <w:t xml:space="preserve">4.4 Correction Feedback Loop</w:t>
      </w:r>
    </w:p>
    <w:p>
      <w:pPr>
        <w:spacing w:after="160" w:line="276"/>
      </w:pPr>
      <w:r>
        <w:rPr>
          <w:rFonts w:ascii="Calibri" w:cs="Calibri" w:eastAsia="Calibri" w:hAnsi="Calibri"/>
          <w:color w:val="222222"/>
          <w:sz w:val="21"/>
          <w:szCs w:val="21"/>
        </w:rPr>
        <w:t xml:space="preserve">Every manual correction made in the Human Review Queue is stored (before_value/after_value) and used to retrain vendor-specific extraction patterns — e.g., if a specific vendor's receipt layout is consistently mis-parsed, the system should learn that vendor's format over time rather than repeating the same error.</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5. AI Categorization Engine</w:t>
      </w:r>
    </w:p>
    <w:p>
      <w:pPr>
        <w:spacing w:after="160" w:line="276"/>
      </w:pPr>
      <w:r>
        <w:rPr>
          <w:rFonts w:ascii="Calibri" w:cs="Calibri" w:eastAsia="Calibri" w:hAnsi="Calibri"/>
          <w:color w:val="222222"/>
          <w:sz w:val="21"/>
          <w:szCs w:val="21"/>
        </w:rPr>
        <w:t xml:space="preserve">Categorization determines which Chart of Accounts code a transaction receives. This is the single highest-stakes decision in the system, because it is what makes Schedule C, Form 990, and grant compliance reporting accurate. The engine applies rules in strict priority order — higher-priority rules always win, and the engine stops at the first match.</w:t>
      </w:r>
    </w:p>
    <w:p>
      <w:pPr>
        <w:pStyle w:val="Heading2"/>
        <w:spacing w:after="140" w:before="320"/>
      </w:pPr>
      <w:r>
        <w:rPr>
          <w:rFonts w:ascii="Calibri" w:cs="Calibri" w:eastAsia="Calibri" w:hAnsi="Calibri"/>
          <w:b/>
          <w:bCs/>
          <w:color w:val="0F2A1E"/>
          <w:sz w:val="26"/>
          <w:szCs w:val="26"/>
        </w:rPr>
        <w:t xml:space="preserve">5.1 Rule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Rule Source</w:t>
            </w:r>
          </w:p>
        </w:tc>
        <w:tc>
          <w:tcPr>
            <w:tcW w:type="dxa" w:w="51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Logic</w:t>
            </w:r>
          </w:p>
        </w:tc>
      </w:tr>
      <w:tr>
        <w:tc>
          <w:tcPr>
            <w:tcW w:type="dxa" w:w="1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1 (highest)</w:t>
            </w:r>
          </w:p>
        </w:tc>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Vendor Rule</w:t>
            </w:r>
          </w:p>
        </w:tc>
        <w:tc>
          <w:tcPr>
            <w:tcW w:type="dxa" w:w="5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If this vendor has a saved default account (set by user or learned), apply it</w:t>
            </w:r>
          </w:p>
        </w:tc>
      </w:tr>
      <w:tr>
        <w:tc>
          <w:tcPr>
            <w:tcW w:type="dxa" w:w="1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2</w:t>
            </w:r>
          </w:p>
        </w:tc>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Prior User Decision</w:t>
            </w:r>
          </w:p>
        </w:tc>
        <w:tc>
          <w:tcPr>
            <w:tcW w:type="dxa" w:w="5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If this org has previously categorized a transaction with matching vendor + similar amount, suggest that category</w:t>
            </w:r>
          </w:p>
        </w:tc>
      </w:tr>
      <w:tr>
        <w:tc>
          <w:tcPr>
            <w:tcW w:type="dxa" w:w="1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3</w:t>
            </w:r>
          </w:p>
        </w:tc>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 Budget Line Mapping</w:t>
            </w:r>
          </w:p>
        </w:tc>
        <w:tc>
          <w:tcPr>
            <w:tcW w:type="dxa" w:w="5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If transaction is tagged to a grant, match against the grant's approved budget line items first</w:t>
            </w:r>
          </w:p>
        </w:tc>
      </w:tr>
      <w:tr>
        <w:tc>
          <w:tcPr>
            <w:tcW w:type="dxa" w:w="1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4</w:t>
            </w:r>
          </w:p>
        </w:tc>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AI Suggested Category (model)</w:t>
            </w:r>
          </w:p>
        </w:tc>
        <w:tc>
          <w:tcPr>
            <w:tcW w:type="dxa" w:w="5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NLP/ML classification against vendor name, amount, and org's COA template</w:t>
            </w:r>
          </w:p>
        </w:tc>
      </w:tr>
      <w:tr>
        <w:tc>
          <w:tcPr>
            <w:tcW w:type="dxa" w:w="1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5 (fallback)</w:t>
            </w:r>
          </w:p>
        </w:tc>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Uncategorized</w:t>
            </w:r>
          </w:p>
        </w:tc>
        <w:tc>
          <w:tcPr>
            <w:tcW w:type="dxa" w:w="5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Never auto-post — always routes to Review Queue (Sec. 2.1 Step 4)</w:t>
            </w:r>
          </w:p>
        </w:tc>
      </w:tr>
    </w:tbl>
    <w:p>
      <w:pPr>
        <w:spacing w:after="120"/>
      </w:pPr>
    </w:p>
    <w:p>
      <w:pPr>
        <w:pStyle w:val="Heading2"/>
        <w:spacing w:after="140" w:before="320"/>
      </w:pPr>
      <w:r>
        <w:rPr>
          <w:rFonts w:ascii="Calibri" w:cs="Calibri" w:eastAsia="Calibri" w:hAnsi="Calibri"/>
          <w:b/>
          <w:bCs/>
          <w:color w:val="0F2A1E"/>
          <w:sz w:val="26"/>
          <w:szCs w:val="26"/>
        </w:rPr>
        <w:t xml:space="preserve">5.2 User Confirmation &amp; Learning</w:t>
      </w:r>
    </w:p>
    <w:p>
      <w:pPr>
        <w:spacing w:after="160" w:line="276"/>
      </w:pPr>
      <w:r>
        <w:rPr>
          <w:rFonts w:ascii="Calibri" w:cs="Calibri" w:eastAsia="Calibri" w:hAnsi="Calibri"/>
          <w:color w:val="222222"/>
          <w:sz w:val="21"/>
          <w:szCs w:val="21"/>
        </w:rPr>
        <w:t xml:space="preserve">Every AI-suggested category requires user confirmation on first use per vendor. Once confirmed, it is promoted to a Vendor Rule (Priority 1) for that org, so the same vendor never needs re-confirmation unless the user changes it.</w:t>
      </w:r>
    </w:p>
    <w:p>
      <w:pPr>
        <w:spacing w:after="120"/>
      </w:pPr>
    </w:p>
    <w:p>
      <w:pPr>
        <w:pStyle w:val="Heading2"/>
        <w:spacing w:after="140" w:before="320"/>
      </w:pPr>
      <w:r>
        <w:rPr>
          <w:rFonts w:ascii="Calibri" w:cs="Calibri" w:eastAsia="Calibri" w:hAnsi="Calibri"/>
          <w:b/>
          <w:bCs/>
          <w:color w:val="0F2A1E"/>
          <w:sz w:val="26"/>
          <w:szCs w:val="26"/>
        </w:rPr>
        <w:t xml:space="preserve">5.3 Grant, Client, and Program Overlays</w:t>
      </w:r>
    </w:p>
    <w:p>
      <w:pPr>
        <w:spacing w:after="160" w:line="276"/>
      </w:pPr>
      <w:r>
        <w:rPr>
          <w:rFonts w:ascii="Calibri" w:cs="Calibri" w:eastAsia="Calibri" w:hAnsi="Calibri"/>
          <w:color w:val="222222"/>
          <w:sz w:val="21"/>
          <w:szCs w:val="21"/>
        </w:rPr>
        <w:t xml:space="preserve">Categorization is not just “which GL account” — for nonprofits and grant-funded orgs, every transaction may also require a Program / Management &amp; General / Fundraising split (Form 990) and/or a specific grant allocation. These overlays are applied after the GL account is determined and are validated against Section 6.3 (Allowability).</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6. Transaction → Chart of Accounts Posting Rules</w:t>
      </w:r>
    </w:p>
    <w:p>
      <w:pPr>
        <w:spacing w:after="160" w:line="276"/>
      </w:pPr>
      <w:r>
        <w:rPr>
          <w:rFonts w:ascii="Calibri" w:cs="Calibri" w:eastAsia="Calibri" w:hAnsi="Calibri"/>
          <w:color w:val="222222"/>
          <w:sz w:val="21"/>
          <w:szCs w:val="21"/>
        </w:rPr>
        <w:t xml:space="preserve">This section is the accuracy centerpiece the founder specifically flagged: every transaction, regardless of origin, must post correctly and consistently.</w:t>
      </w:r>
    </w:p>
    <w:p>
      <w:pPr>
        <w:pStyle w:val="Heading2"/>
        <w:spacing w:after="140" w:before="320"/>
      </w:pPr>
      <w:r>
        <w:rPr>
          <w:rFonts w:ascii="Calibri" w:cs="Calibri" w:eastAsia="Calibri" w:hAnsi="Calibri"/>
          <w:b/>
          <w:bCs/>
          <w:color w:val="0F2A1E"/>
          <w:sz w:val="26"/>
          <w:szCs w:val="26"/>
        </w:rPr>
        <w:t xml:space="preserve">6.1 Posting Logic by Transaction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Transaction Type</w:t>
            </w:r>
          </w:p>
        </w:tc>
        <w:tc>
          <w:tcPr>
            <w:tcW w:type="dxa" w:w="3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COA Treatment</w:t>
            </w:r>
          </w:p>
        </w:tc>
        <w:tc>
          <w:tcPr>
            <w:tcW w:type="dxa" w:w="39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Special Handling</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Expense (receipt/bank)</w:t>
            </w:r>
          </w:p>
        </w:tc>
        <w:tc>
          <w:tcPr>
            <w:tcW w:type="dxa" w:w="3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Debit expense account per Sec. 5 categorization</w:t>
            </w:r>
          </w:p>
        </w:tc>
        <w:tc>
          <w:tcPr>
            <w:tcW w:type="dxa" w:w="3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Sales tax posts to the same account as the line item unless org has a separate Sales Tax Paid account enabled</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Income</w:t>
            </w:r>
          </w:p>
        </w:tc>
        <w:tc>
          <w:tcPr>
            <w:tcW w:type="dxa" w:w="3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Credit revenue account</w:t>
            </w:r>
          </w:p>
        </w:tc>
        <w:tc>
          <w:tcPr>
            <w:tcW w:type="dxa" w:w="3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Nonprofits: must also tag Revenue &amp; Support sub-type (contribution, grant, program fee, etc.)</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Transfer</w:t>
            </w:r>
          </w:p>
        </w:tc>
        <w:tc>
          <w:tcPr>
            <w:tcW w:type="dxa" w:w="3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Debit/credit between two Financial Accounts, never touches Income/Expense</w:t>
            </w:r>
          </w:p>
        </w:tc>
        <w:tc>
          <w:tcPr>
            <w:tcW w:type="dxa" w:w="3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Never appears on P&amp;L; must net to zero across the pair</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Refund</w:t>
            </w:r>
          </w:p>
        </w:tc>
        <w:tc>
          <w:tcPr>
            <w:tcW w:type="dxa" w:w="3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Reverses original expense/income account, not a new expense line</w:t>
            </w:r>
          </w:p>
        </w:tc>
        <w:tc>
          <w:tcPr>
            <w:tcW w:type="dxa" w:w="3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Must reference original transaction_id</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Owner Contribution / Draw</w:t>
            </w:r>
          </w:p>
        </w:tc>
        <w:tc>
          <w:tcPr>
            <w:tcW w:type="dxa" w:w="3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Posts to Equity, not Income/Expense</w:t>
            </w:r>
          </w:p>
        </w:tc>
        <w:tc>
          <w:tcPr>
            <w:tcW w:type="dxa" w:w="3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SMB only — disabled entirely for org_type = nonprofit</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Mileage (posted)</w:t>
            </w:r>
          </w:p>
        </w:tc>
        <w:tc>
          <w:tcPr>
            <w:tcW w:type="dxa" w:w="3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Car &amp; Truck Expenses (Schedule C Line 9) or Travel</w:t>
            </w:r>
          </w:p>
        </w:tc>
        <w:tc>
          <w:tcPr>
            <w:tcW w:type="dxa" w:w="39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Amount = computed deduction from mileage_trips (Sec. 3.7), not a receipt amount</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 Expense</w:t>
            </w:r>
          </w:p>
        </w:tc>
        <w:tc>
          <w:tcPr>
            <w:tcW w:type="dxa" w:w="3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Program Expense account + grant_id tag</w:t>
            </w:r>
          </w:p>
        </w:tc>
        <w:tc>
          <w:tcPr>
            <w:tcW w:type="dxa" w:w="39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Must pass Allowability check (6.3) before status can become ‘posted’</w:t>
            </w:r>
          </w:p>
        </w:tc>
      </w:tr>
    </w:tbl>
    <w:p>
      <w:pPr>
        <w:spacing w:after="120"/>
      </w:pPr>
    </w:p>
    <w:p>
      <w:pPr>
        <w:pStyle w:val="Heading2"/>
        <w:spacing w:after="140" w:before="320"/>
      </w:pPr>
      <w:r>
        <w:rPr>
          <w:rFonts w:ascii="Calibri" w:cs="Calibri" w:eastAsia="Calibri" w:hAnsi="Calibri"/>
          <w:b/>
          <w:bCs/>
          <w:color w:val="0F2A1E"/>
          <w:sz w:val="26"/>
          <w:szCs w:val="26"/>
        </w:rPr>
        <w:t xml:space="preserve">6.2 Split Allocations</w:t>
      </w:r>
    </w:p>
    <w:p>
      <w:pPr>
        <w:spacing w:after="160" w:line="276"/>
      </w:pPr>
      <w:r>
        <w:rPr>
          <w:rFonts w:ascii="Calibri" w:cs="Calibri" w:eastAsia="Calibri" w:hAnsi="Calibri"/>
          <w:color w:val="222222"/>
          <w:sz w:val="21"/>
          <w:szCs w:val="21"/>
        </w:rPr>
        <w:t xml:space="preserve">A single transaction may be split across Client / Project / Department / Program / Grant / Location. Split lines must sum exactly to the parent transaction's total — the system should block posting (not silently round) if splits don't reconcile to the penny.</w:t>
      </w:r>
    </w:p>
    <w:p>
      <w:pPr>
        <w:spacing w:after="120"/>
      </w:pPr>
    </w:p>
    <w:p>
      <w:pPr>
        <w:pStyle w:val="Heading2"/>
        <w:spacing w:after="140" w:before="320"/>
      </w:pPr>
      <w:r>
        <w:rPr>
          <w:rFonts w:ascii="Calibri" w:cs="Calibri" w:eastAsia="Calibri" w:hAnsi="Calibri"/>
          <w:b/>
          <w:bCs/>
          <w:color w:val="0F2A1E"/>
          <w:sz w:val="26"/>
          <w:szCs w:val="26"/>
        </w:rPr>
        <w:t xml:space="preserve">6.3 Grant Allowability &amp; Budget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w:t>
            </w:r>
          </w:p>
        </w:tc>
        <w:tc>
          <w:tcPr>
            <w:tcW w:type="dxa" w:w="3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w:t>
            </w:r>
          </w:p>
        </w:tc>
        <w:tc>
          <w:tcPr>
            <w:tcW w:type="dxa" w:w="33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Expense Allowable?</w:t>
            </w:r>
          </w:p>
        </w:tc>
        <w:tc>
          <w:tcPr>
            <w:tcW w:type="dxa" w:w="3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grant_id is set on transaction</w:t>
            </w:r>
          </w:p>
        </w:tc>
        <w:tc>
          <w:tcPr>
            <w:tcW w:type="dxa" w:w="3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No → block posting, raise Compliance Warning; Yes → continue to budget check</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Budget Exceeded?</w:t>
            </w:r>
          </w:p>
        </w:tc>
        <w:tc>
          <w:tcPr>
            <w:tcW w:type="dxa" w:w="3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Sum of allowable expenses for that budget line vs. approved amount</w:t>
            </w:r>
          </w:p>
        </w:tc>
        <w:tc>
          <w:tcPr>
            <w:tcW w:type="dxa" w:w="3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Yes → Overspending Alert to Grant Manager (does not block posting, but flags for review); No → update Burn Rate</w:t>
            </w:r>
          </w:p>
        </w:tc>
      </w:tr>
    </w:tbl>
    <w:p>
      <w:pPr>
        <w:spacing w:after="120"/>
      </w:pPr>
    </w:p>
    <w:p>
      <w:pPr>
        <w:pStyle w:val="Heading2"/>
        <w:spacing w:after="140" w:before="320"/>
      </w:pPr>
      <w:r>
        <w:rPr>
          <w:rFonts w:ascii="Calibri" w:cs="Calibri" w:eastAsia="Calibri" w:hAnsi="Calibri"/>
          <w:b/>
          <w:bCs/>
          <w:color w:val="0F2A1E"/>
          <w:sz w:val="26"/>
          <w:szCs w:val="26"/>
        </w:rPr>
        <w:t xml:space="preserve">6.4 Validation Gate (runs before any transaction reaches ‘posted’ status)</w:t>
      </w:r>
    </w:p>
    <w:p>
      <w:pPr>
        <w:pStyle w:val="ListParagraph"/>
        <w:numPr>
          <w:ilvl w:val="0"/>
          <w:numId w:val="1"/>
        </w:numPr>
        <w:spacing w:after="80"/>
        <w:ind w:left="360"/>
      </w:pPr>
      <w:r>
        <w:rPr>
          <w:rFonts w:ascii="Calibri" w:cs="Calibri" w:eastAsia="Calibri" w:hAnsi="Calibri"/>
          <w:color w:val="222222"/>
          <w:sz w:val="21"/>
          <w:szCs w:val="21"/>
        </w:rPr>
        <w:t xml:space="preserve">Missing Receipt Check — expense over org-configured threshold without an attached receipt is flagged, not blocked, unless org policy requires it</w:t>
      </w:r>
    </w:p>
    <w:p>
      <w:pPr>
        <w:pStyle w:val="ListParagraph"/>
        <w:numPr>
          <w:ilvl w:val="0"/>
          <w:numId w:val="1"/>
        </w:numPr>
        <w:spacing w:after="80"/>
        <w:ind w:left="360"/>
      </w:pPr>
      <w:r>
        <w:rPr>
          <w:rFonts w:ascii="Calibri" w:cs="Calibri" w:eastAsia="Calibri" w:hAnsi="Calibri"/>
          <w:color w:val="222222"/>
          <w:sz w:val="21"/>
          <w:szCs w:val="21"/>
        </w:rPr>
        <w:t xml:space="preserve">Duplicate Transaction Check — vendor + date (±2 days) + amount fuzzy match</w:t>
      </w:r>
    </w:p>
    <w:p>
      <w:pPr>
        <w:pStyle w:val="ListParagraph"/>
        <w:numPr>
          <w:ilvl w:val="0"/>
          <w:numId w:val="1"/>
        </w:numPr>
        <w:spacing w:after="80"/>
        <w:ind w:left="360"/>
      </w:pPr>
      <w:r>
        <w:rPr>
          <w:rFonts w:ascii="Calibri" w:cs="Calibri" w:eastAsia="Calibri" w:hAnsi="Calibri"/>
          <w:color w:val="222222"/>
          <w:sz w:val="21"/>
          <w:szCs w:val="21"/>
        </w:rPr>
        <w:t xml:space="preserve">Amount Mismatch Check — Subtotal + Tax + Tip must equal Total within $0.01</w:t>
      </w:r>
    </w:p>
    <w:p>
      <w:pPr>
        <w:pStyle w:val="ListParagraph"/>
        <w:numPr>
          <w:ilvl w:val="0"/>
          <w:numId w:val="1"/>
        </w:numPr>
        <w:spacing w:after="80"/>
        <w:ind w:left="360"/>
      </w:pPr>
      <w:r>
        <w:rPr>
          <w:rFonts w:ascii="Calibri" w:cs="Calibri" w:eastAsia="Calibri" w:hAnsi="Calibri"/>
          <w:color w:val="222222"/>
          <w:sz w:val="21"/>
          <w:szCs w:val="21"/>
        </w:rPr>
        <w:t xml:space="preserve">Date Conflict Check — transaction date cannot precede org's fiscal_year_start or fall inside a locked (closed) period</w:t>
      </w:r>
    </w:p>
    <w:p>
      <w:pPr>
        <w:pStyle w:val="ListParagraph"/>
        <w:numPr>
          <w:ilvl w:val="0"/>
          <w:numId w:val="1"/>
        </w:numPr>
        <w:spacing w:after="80"/>
        <w:ind w:left="360"/>
      </w:pPr>
      <w:r>
        <w:rPr>
          <w:rFonts w:ascii="Calibri" w:cs="Calibri" w:eastAsia="Calibri" w:hAnsi="Calibri"/>
          <w:color w:val="222222"/>
          <w:sz w:val="21"/>
          <w:szCs w:val="21"/>
        </w:rPr>
        <w:t xml:space="preserve">Personal Expense Risk — vendor category historically flagged as high personal-use risk (e.g., general retail) triggers a soft warning, not a block</w:t>
      </w:r>
    </w:p>
    <w:p>
      <w:pPr>
        <w:pStyle w:val="ListParagraph"/>
        <w:numPr>
          <w:ilvl w:val="0"/>
          <w:numId w:val="1"/>
        </w:numPr>
        <w:spacing w:after="80"/>
        <w:ind w:left="360"/>
      </w:pPr>
      <w:r>
        <w:rPr>
          <w:rFonts w:ascii="Calibri" w:cs="Calibri" w:eastAsia="Calibri" w:hAnsi="Calibri"/>
          <w:color w:val="222222"/>
          <w:sz w:val="21"/>
          <w:szCs w:val="21"/>
        </w:rPr>
        <w:t xml:space="preserve">Uncategorized Transaction Check — hard block; cannot post without a coa_id</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7. Mileage &amp; Travel Engine</w:t>
      </w:r>
    </w:p>
    <w:p>
      <w:pPr>
        <w:pStyle w:val="Heading2"/>
        <w:spacing w:after="140" w:before="320"/>
      </w:pPr>
      <w:r>
        <w:rPr>
          <w:rFonts w:ascii="Calibri" w:cs="Calibri" w:eastAsia="Calibri" w:hAnsi="Calibri"/>
          <w:b/>
          <w:bCs/>
          <w:color w:val="0F2A1E"/>
          <w:sz w:val="26"/>
          <w:szCs w:val="26"/>
        </w:rPr>
        <w:t xml:space="preserve">7.1 Trip Capture</w:t>
      </w:r>
    </w:p>
    <w:p>
      <w:pPr>
        <w:pStyle w:val="ListParagraph"/>
        <w:numPr>
          <w:ilvl w:val="0"/>
          <w:numId w:val="1"/>
        </w:numPr>
        <w:spacing w:after="80"/>
        <w:ind w:left="360"/>
      </w:pPr>
      <w:r>
        <w:rPr>
          <w:rFonts w:ascii="Calibri" w:cs="Calibri" w:eastAsia="Calibri" w:hAnsi="Calibri"/>
          <w:color w:val="222222"/>
          <w:sz w:val="21"/>
          <w:szCs w:val="21"/>
        </w:rPr>
        <w:t xml:space="preserve">Manual entry: start location, destination, business purpose, odometer start/end (or system computes miles from addresses)</w:t>
      </w:r>
    </w:p>
    <w:p>
      <w:pPr>
        <w:pStyle w:val="ListParagraph"/>
        <w:numPr>
          <w:ilvl w:val="0"/>
          <w:numId w:val="1"/>
        </w:numPr>
        <w:spacing w:after="80"/>
        <w:ind w:left="360"/>
      </w:pPr>
      <w:r>
        <w:rPr>
          <w:rFonts w:ascii="Calibri" w:cs="Calibri" w:eastAsia="Calibri" w:hAnsi="Calibri"/>
          <w:color w:val="222222"/>
          <w:sz w:val="21"/>
          <w:szCs w:val="21"/>
        </w:rPr>
        <w:t xml:space="preserve">GPS-assisted: auto-logs trips in background, user confirms business vs. personal before it posts</w:t>
      </w:r>
    </w:p>
    <w:p>
      <w:pPr>
        <w:pStyle w:val="ListParagraph"/>
        <w:numPr>
          <w:ilvl w:val="0"/>
          <w:numId w:val="1"/>
        </w:numPr>
        <w:spacing w:after="80"/>
        <w:ind w:left="360"/>
      </w:pPr>
      <w:r>
        <w:rPr>
          <w:rFonts w:ascii="Calibri" w:cs="Calibri" w:eastAsia="Calibri" w:hAnsi="Calibri"/>
          <w:color w:val="222222"/>
          <w:sz w:val="21"/>
          <w:szCs w:val="21"/>
        </w:rPr>
        <w:t xml:space="preserve">Calendar-linked: suggests trips based on calendar events with addresses</w:t>
      </w:r>
    </w:p>
    <w:p>
      <w:pPr>
        <w:spacing w:after="120"/>
      </w:pPr>
    </w:p>
    <w:p>
      <w:pPr>
        <w:pStyle w:val="Heading2"/>
        <w:spacing w:after="140" w:before="320"/>
      </w:pPr>
      <w:r>
        <w:rPr>
          <w:rFonts w:ascii="Calibri" w:cs="Calibri" w:eastAsia="Calibri" w:hAnsi="Calibri"/>
          <w:b/>
          <w:bCs/>
          <w:color w:val="0F2A1E"/>
          <w:sz w:val="26"/>
          <w:szCs w:val="26"/>
        </w:rPr>
        <w:t xml:space="preserve">7.2 IRS-Compliant Log Requirements</w:t>
      </w:r>
    </w:p>
    <w:p>
      <w:pPr>
        <w:spacing w:after="160" w:line="276"/>
      </w:pPr>
      <w:r>
        <w:rPr>
          <w:rFonts w:ascii="Calibri" w:cs="Calibri" w:eastAsia="Calibri" w:hAnsi="Calibri"/>
          <w:color w:val="222222"/>
          <w:sz w:val="21"/>
          <w:szCs w:val="21"/>
        </w:rPr>
        <w:t xml:space="preserve">To meet the IRS “contemporaneous record” standard, every trip record must capture, at minimum: date, starting point, destination, business purpose, and miles driven. A trip missing business purpose cannot be included in the IRS Mileage Log export — it is retained in the system but excluded from that specific report until completed.</w:t>
      </w:r>
    </w:p>
    <w:p>
      <w:pPr>
        <w:spacing w:after="120"/>
      </w:pPr>
    </w:p>
    <w:p>
      <w:pPr>
        <w:pStyle w:val="Heading2"/>
        <w:spacing w:after="140" w:before="320"/>
      </w:pPr>
      <w:r>
        <w:rPr>
          <w:rFonts w:ascii="Calibri" w:cs="Calibri" w:eastAsia="Calibri" w:hAnsi="Calibri"/>
          <w:b/>
          <w:bCs/>
          <w:color w:val="0F2A1E"/>
          <w:sz w:val="26"/>
          <w:szCs w:val="26"/>
        </w:rPr>
        <w:t xml:space="preserve">7.3 Rate Lookup &amp; Deduction</w:t>
      </w:r>
    </w:p>
    <w:p>
      <w:pPr>
        <w:spacing w:after="160" w:line="276"/>
      </w:pPr>
      <w:r>
        <w:rPr>
          <w:rFonts w:ascii="Calibri" w:cs="Calibri" w:eastAsia="Calibri" w:hAnsi="Calibri"/>
          <w:color w:val="222222"/>
          <w:sz w:val="21"/>
          <w:szCs w:val="21"/>
        </w:rPr>
        <w:t xml:space="preserve">The system maintains an irs_mileage_rates reference table (year → rate). Deduction = total_miles × rate for the calendar year the trip occurred in — never the current year's rate applied retroactively. Parking and tolls are captured as separate line items and posted individually, not folded into the per-mile rate.</w:t>
      </w:r>
    </w:p>
    <w:p>
      <w:pPr>
        <w:spacing w:after="120"/>
      </w:pPr>
    </w:p>
    <w:p>
      <w:pPr>
        <w:pStyle w:val="Heading2"/>
        <w:spacing w:after="140" w:before="320"/>
      </w:pPr>
      <w:r>
        <w:rPr>
          <w:rFonts w:ascii="Calibri" w:cs="Calibri" w:eastAsia="Calibri" w:hAnsi="Calibri"/>
          <w:b/>
          <w:bCs/>
          <w:color w:val="0F2A1E"/>
          <w:sz w:val="26"/>
          <w:szCs w:val="26"/>
        </w:rPr>
        <w:t xml:space="preserve">7.4 Travel Events (multi-day, multi-line)</w:t>
      </w:r>
    </w:p>
    <w:p>
      <w:pPr>
        <w:spacing w:after="160" w:line="276"/>
      </w:pPr>
      <w:r>
        <w:rPr>
          <w:rFonts w:ascii="Calibri" w:cs="Calibri" w:eastAsia="Calibri" w:hAnsi="Calibri"/>
          <w:color w:val="222222"/>
          <w:sz w:val="21"/>
          <w:szCs w:val="21"/>
        </w:rPr>
        <w:t xml:space="preserve">A Travel Event groups airfare, lodging, meals, per diem, ground transportation, and mileage under one traveler/purpose/date-range record. Each line item posts to its own Chart of Accounts code (e.g., Airfare and Lodging are typically both ‘Travel,’ but Meals may be subject to a 50% deductibility limit for tax purposes — the system must apply that limit at the categorization step, not leave it to the tax preparer to catch later).</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8. Security &amp; Compliance Architecture</w:t>
      </w:r>
    </w:p>
    <w:p>
      <w:pPr>
        <w:pStyle w:val="Heading2"/>
        <w:spacing w:after="140" w:before="320"/>
      </w:pPr>
      <w:r>
        <w:rPr>
          <w:rFonts w:ascii="Calibri" w:cs="Calibri" w:eastAsia="Calibri" w:hAnsi="Calibri"/>
          <w:b/>
          <w:bCs/>
          <w:color w:val="0F2A1E"/>
          <w:sz w:val="26"/>
          <w:szCs w:val="26"/>
        </w:rPr>
        <w:t xml:space="preserve">8.1 Core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Control</w:t>
            </w:r>
          </w:p>
        </w:tc>
        <w:tc>
          <w:tcPr>
            <w:tcW w:type="dxa" w:w="67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Implementation</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Encryption in transit</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TLS 1.2+ on all client-server and server-to-integration traffic</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Encryption at rest</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AES-256 on database and file storage (receipt images/PDFs)</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Multi-Factor Authentication</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Required for owner and bookkeeper roles; optional but encouraged for others</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Role-Based Access Control</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Enforced at the API layer, not just UI — see permission matrix Sec. 9</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Organization Data Isolation</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Every query scoped by org_id; no cross-tenant query path should exist, even for admin tooling</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Immutable Audit Log</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Append-only table (Sec. 3.8); financial edits stored as before/after diffs, never overwritten</w:t>
            </w:r>
          </w:p>
        </w:tc>
      </w:tr>
      <w:tr>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Automated Backups</w:t>
            </w:r>
          </w:p>
        </w:tc>
        <w:tc>
          <w:tcPr>
            <w:tcW w:type="dxa" w:w="67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Daily automated backups, retained per Sec. 8.2 retention policy, with periodic restore testing</w:t>
            </w:r>
          </w:p>
        </w:tc>
      </w:tr>
      <w:tr>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Security Monitoring</w:t>
            </w:r>
          </w:p>
        </w:tc>
        <w:tc>
          <w:tcPr>
            <w:tcW w:type="dxa" w:w="67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Failed login and permission-escalation alerting; anomalous export volume flagged for review</w:t>
            </w:r>
          </w:p>
        </w:tc>
      </w:tr>
    </w:tbl>
    <w:p>
      <w:pPr>
        <w:spacing w:after="120"/>
      </w:pPr>
    </w:p>
    <w:p>
      <w:pPr>
        <w:pStyle w:val="Heading2"/>
        <w:spacing w:after="140" w:before="320"/>
      </w:pPr>
      <w:r>
        <w:rPr>
          <w:rFonts w:ascii="Calibri" w:cs="Calibri" w:eastAsia="Calibri" w:hAnsi="Calibri"/>
          <w:b/>
          <w:bCs/>
          <w:color w:val="0F2A1E"/>
          <w:sz w:val="26"/>
          <w:szCs w:val="26"/>
        </w:rPr>
        <w:t xml:space="preserve">8.2 Data Retention</w:t>
      </w:r>
    </w:p>
    <w:p>
      <w:pPr>
        <w:spacing w:after="160" w:line="276"/>
      </w:pPr>
      <w:r>
        <w:rPr>
          <w:rFonts w:ascii="Calibri" w:cs="Calibri" w:eastAsia="Calibri" w:hAnsi="Calibri"/>
          <w:color w:val="222222"/>
          <w:sz w:val="21"/>
          <w:szCs w:val="21"/>
        </w:rPr>
        <w:t xml:space="preserve">Financial transaction records and audit logs are retained for a minimum of 7 years to align with IRS recordkeeping requirements. Grant-related records follow the retention period specified in the individual award terms where longer than 7 years (common under 2 CFR 200).</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9. Screen Inventory &amp; Role Permission Matrix</w:t>
      </w:r>
    </w:p>
    <w:p>
      <w:pPr>
        <w:pStyle w:val="Heading2"/>
        <w:spacing w:after="140" w:before="320"/>
      </w:pPr>
      <w:r>
        <w:rPr>
          <w:rFonts w:ascii="Calibri" w:cs="Calibri" w:eastAsia="Calibri" w:hAnsi="Calibri"/>
          <w:b/>
          <w:bCs/>
          <w:color w:val="0F2A1E"/>
          <w:sz w:val="26"/>
          <w:szCs w:val="26"/>
        </w:rPr>
        <w:t xml:space="preserve">9.1 Screen Inventory by Module</w:t>
      </w:r>
    </w:p>
    <w:p>
      <w:pPr>
        <w:spacing w:after="160" w:line="276"/>
      </w:pPr>
      <w:r>
        <w:rPr>
          <w:rFonts w:ascii="Calibri" w:cs="Calibri" w:eastAsia="Calibri" w:hAnsi="Calibri"/>
          <w:color w:val="222222"/>
          <w:sz w:val="21"/>
          <w:szCs w:val="21"/>
        </w:rPr>
        <w:t xml:space="preserve">Grouped by navigation section (see Prompt 2 / Navigation diagram). Each screen's data source is the Ledger or a table that feeds it — no screen queries a report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Module</w:t>
            </w:r>
          </w:p>
        </w:tc>
        <w:tc>
          <w:tcPr>
            <w:tcW w:type="dxa" w:w="4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Screens</w:t>
            </w:r>
          </w:p>
        </w:tc>
        <w:tc>
          <w:tcPr>
            <w:tcW w:type="dxa" w:w="31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Primary Data Source</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Dashboard</w:t>
            </w:r>
          </w:p>
        </w:tc>
        <w:tc>
          <w:tcPr>
            <w:tcW w:type="dxa" w:w="4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Executive Dashboard, Financial Health Score</w:t>
            </w:r>
          </w:p>
        </w:tc>
        <w:tc>
          <w:tcPr>
            <w:tcW w:type="dxa" w:w="3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transactions (aggregated), grants, mileage_trips</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Capture</w:t>
            </w:r>
          </w:p>
        </w:tc>
        <w:tc>
          <w:tcPr>
            <w:tcW w:type="dxa" w:w="4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Camera Capture, File Upload, Bulk Upload, Email-In Inbox, Review Queue</w:t>
            </w:r>
          </w:p>
        </w:tc>
        <w:tc>
          <w:tcPr>
            <w:tcW w:type="dxa" w:w="3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receipts</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Transactions</w:t>
            </w:r>
          </w:p>
        </w:tc>
        <w:tc>
          <w:tcPr>
            <w:tcW w:type="dxa" w:w="4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Register (list/filter), Transaction Detail/Edit, Split Allocation Editor, Manual Entry, CSV/Bank Import</w:t>
            </w:r>
          </w:p>
        </w:tc>
        <w:tc>
          <w:tcPr>
            <w:tcW w:type="dxa" w:w="3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transactions</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Chart of Accounts</w:t>
            </w:r>
          </w:p>
        </w:tc>
        <w:tc>
          <w:tcPr>
            <w:tcW w:type="dxa" w:w="4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COA List/Edit, Template Selector (SMB/Nonprofit), Tax Mapping Editor</w:t>
            </w:r>
          </w:p>
        </w:tc>
        <w:tc>
          <w:tcPr>
            <w:tcW w:type="dxa" w:w="3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chart_of_accounts</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Bank &amp; Reconciliation</w:t>
            </w:r>
          </w:p>
        </w:tc>
        <w:tc>
          <w:tcPr>
            <w:tcW w:type="dxa" w:w="4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Bank Feed Connections, Match Review, Monthly Reconciliation, Period Close/Lock</w:t>
            </w:r>
          </w:p>
        </w:tc>
        <w:tc>
          <w:tcPr>
            <w:tcW w:type="dxa" w:w="3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transactions, financial_accounts</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Grants</w:t>
            </w:r>
          </w:p>
        </w:tc>
        <w:tc>
          <w:tcPr>
            <w:tcW w:type="dxa" w:w="4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 Profile, Budget Line Editor, Allowability Review, Budget vs. Actual, Closeout Checklist</w:t>
            </w:r>
          </w:p>
        </w:tc>
        <w:tc>
          <w:tcPr>
            <w:tcW w:type="dxa" w:w="3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grants, transactions</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Mileage &amp; Travel</w:t>
            </w:r>
          </w:p>
        </w:tc>
        <w:tc>
          <w:tcPr>
            <w:tcW w:type="dxa" w:w="4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Vehicle Profiles, Trip Log, IRS Mileage Log Export, Travel Event Builder, Travel Expense Report</w:t>
            </w:r>
          </w:p>
        </w:tc>
        <w:tc>
          <w:tcPr>
            <w:tcW w:type="dxa" w:w="3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mileage_trips, travel_events</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Vendors</w:t>
            </w:r>
          </w:p>
        </w:tc>
        <w:tc>
          <w:tcPr>
            <w:tcW w:type="dxa" w:w="4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Vendor Directory, Vendor Profile, W-9/1099 Tracker, Vendor Expense Report</w:t>
            </w:r>
          </w:p>
        </w:tc>
        <w:tc>
          <w:tcPr>
            <w:tcW w:type="dxa" w:w="3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vendors, transactions</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Clients &amp; Projects</w:t>
            </w:r>
          </w:p>
        </w:tc>
        <w:tc>
          <w:tcPr>
            <w:tcW w:type="dxa" w:w="4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Client Directory, Project Budget, Billable/Non-Billable Split, Profitability Report</w:t>
            </w:r>
          </w:p>
        </w:tc>
        <w:tc>
          <w:tcPr>
            <w:tcW w:type="dxa" w:w="3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clients, projects, transactions</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Tax Center</w:t>
            </w:r>
          </w:p>
        </w:tc>
        <w:tc>
          <w:tcPr>
            <w:tcW w:type="dxa" w:w="4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Quarterly Estimates, Deduction Finder, Audit Risk Flags, Schedule C Summary, Tax Prep Packet</w:t>
            </w:r>
          </w:p>
        </w:tc>
        <w:tc>
          <w:tcPr>
            <w:tcW w:type="dxa" w:w="3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transactions, chart_of_accounts</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Nonprofit Reports</w:t>
            </w:r>
          </w:p>
        </w:tc>
        <w:tc>
          <w:tcPr>
            <w:tcW w:type="dxa" w:w="4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Fund Tracker, Functional Expense Allocation, Form 990 Part IX Summary</w:t>
            </w:r>
          </w:p>
        </w:tc>
        <w:tc>
          <w:tcPr>
            <w:tcW w:type="dxa" w:w="3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grants, transactions, chart_of_accounts</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Reports &amp; Exports</w:t>
            </w:r>
          </w:p>
        </w:tc>
        <w:tc>
          <w:tcPr>
            <w:tcW w:type="dxa" w:w="4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P&amp;L, Balance Sheet, Cash Flow, General Ledger, Budget vs. Actual, Export Center</w:t>
            </w:r>
          </w:p>
        </w:tc>
        <w:tc>
          <w:tcPr>
            <w:tcW w:type="dxa" w:w="3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transactions (read-only rollups)</w:t>
            </w:r>
          </w:p>
        </w:tc>
      </w:tr>
      <w:tr>
        <w:tc>
          <w:tcPr>
            <w:tcW w:type="dxa" w:w="2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AI Assistant (Gigi)</w:t>
            </w:r>
          </w:p>
        </w:tc>
        <w:tc>
          <w:tcPr>
            <w:tcW w:type="dxa" w:w="4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Chat Interface, Insight Cards</w:t>
            </w:r>
          </w:p>
        </w:tc>
        <w:tc>
          <w:tcPr>
            <w:tcW w:type="dxa" w:w="3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transactions, grants, mileage_trips (read-only)</w:t>
            </w:r>
          </w:p>
        </w:tc>
      </w:tr>
      <w:tr>
        <w:tc>
          <w:tcPr>
            <w:tcW w:type="dxa" w:w="2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Admin</w:t>
            </w:r>
          </w:p>
        </w:tc>
        <w:tc>
          <w:tcPr>
            <w:tcW w:type="dxa" w:w="4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Roles &amp; Permissions, Security Settings, Integrations, Subscription/Billing</w:t>
            </w:r>
          </w:p>
        </w:tc>
        <w:tc>
          <w:tcPr>
            <w:tcW w:type="dxa" w:w="3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users, org settings, audit_log</w:t>
            </w:r>
          </w:p>
        </w:tc>
      </w:tr>
    </w:tbl>
    <w:p>
      <w:pPr>
        <w:spacing w:after="120"/>
      </w:pPr>
    </w:p>
    <w:p>
      <w:pPr>
        <w:pStyle w:val="Heading2"/>
        <w:spacing w:after="140" w:before="320"/>
      </w:pPr>
      <w:r>
        <w:rPr>
          <w:rFonts w:ascii="Calibri" w:cs="Calibri" w:eastAsia="Calibri" w:hAnsi="Calibri"/>
          <w:b/>
          <w:bCs/>
          <w:color w:val="0F2A1E"/>
          <w:sz w:val="26"/>
          <w:szCs w:val="26"/>
        </w:rPr>
        <w:t xml:space="preserve">9.2 Role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130"/>
        <w:gridCol w:w="1130"/>
        <w:gridCol w:w="1130"/>
        <w:gridCol w:w="1130"/>
        <w:gridCol w:w="1130"/>
        <w:gridCol w:w="1130"/>
      </w:tblGrid>
      <w:tr>
        <w:trPr>
          <w:tblHeader/>
        </w:trPr>
        <w:tc>
          <w:tcPr>
            <w:tcW w:type="dxa" w:w="25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Module</w:t>
            </w:r>
          </w:p>
        </w:tc>
        <w:tc>
          <w:tcPr>
            <w:tcW w:type="dxa" w:w="113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Owner</w:t>
            </w:r>
          </w:p>
        </w:tc>
        <w:tc>
          <w:tcPr>
            <w:tcW w:type="dxa" w:w="113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Bookkeeper</w:t>
            </w:r>
          </w:p>
        </w:tc>
        <w:tc>
          <w:tcPr>
            <w:tcW w:type="dxa" w:w="113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Tax Pro</w:t>
            </w:r>
          </w:p>
        </w:tc>
        <w:tc>
          <w:tcPr>
            <w:tcW w:type="dxa" w:w="113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Grant Mgr</w:t>
            </w:r>
          </w:p>
        </w:tc>
        <w:tc>
          <w:tcPr>
            <w:tcW w:type="dxa" w:w="113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Employee</w:t>
            </w:r>
          </w:p>
        </w:tc>
        <w:tc>
          <w:tcPr>
            <w:tcW w:type="dxa" w:w="113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Read Only</w:t>
            </w:r>
          </w:p>
        </w:tc>
      </w:tr>
      <w:tr>
        <w:tc>
          <w:tcPr>
            <w:tcW w:type="dxa" w:w="25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Transactions (post/edit)</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Full</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Full</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View + Export</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Grant-tagged only</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Own submissions only</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View</w:t>
            </w:r>
          </w:p>
        </w:tc>
      </w:tr>
      <w:tr>
        <w:tc>
          <w:tcPr>
            <w:tcW w:type="dxa" w:w="25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Chart of Accounts</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Full</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Edit</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View</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View</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View</w:t>
            </w:r>
          </w:p>
        </w:tc>
      </w:tr>
      <w:tr>
        <w:tc>
          <w:tcPr>
            <w:tcW w:type="dxa" w:w="25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Grants</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Full</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View</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View</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Full</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View</w:t>
            </w:r>
          </w:p>
        </w:tc>
      </w:tr>
      <w:tr>
        <w:tc>
          <w:tcPr>
            <w:tcW w:type="dxa" w:w="25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Mileage &amp; Travel</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Full</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Edit</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View</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View</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Own entries only</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View</w:t>
            </w:r>
          </w:p>
        </w:tc>
      </w:tr>
      <w:tr>
        <w:tc>
          <w:tcPr>
            <w:tcW w:type="dxa" w:w="25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Reports &amp; Exports</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Full</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Full</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Full</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 reports only</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w:t>
            </w:r>
          </w:p>
        </w:tc>
        <w:tc>
          <w:tcPr>
            <w:tcW w:type="dxa" w:w="113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View only, no export</w:t>
            </w:r>
          </w:p>
        </w:tc>
      </w:tr>
      <w:tr>
        <w:tc>
          <w:tcPr>
            <w:tcW w:type="dxa" w:w="25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Admin / Security</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Full</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w:t>
            </w:r>
          </w:p>
        </w:tc>
        <w:tc>
          <w:tcPr>
            <w:tcW w:type="dxa" w:w="113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10. Reporting Engine Logic</w:t>
      </w:r>
    </w:p>
    <w:p>
      <w:pPr>
        <w:spacing w:after="160" w:line="276"/>
      </w:pPr>
      <w:r>
        <w:rPr>
          <w:rFonts w:ascii="Calibri" w:cs="Calibri" w:eastAsia="Calibri" w:hAnsi="Calibri"/>
          <w:color w:val="222222"/>
          <w:sz w:val="21"/>
          <w:szCs w:val="21"/>
        </w:rPr>
        <w:t xml:space="preserve">Every report is a read-only rollup against the transactions table, filtered by org_id, date range, and the report's specific dimension (account, vendor, grant, client, etc.). No report performs its own calculation logic independent of how transactions were posted — if a report's numbers look wrong, the fix is always upstream (categorization or posting), never a patch inside the report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Report</w:t>
            </w:r>
          </w:p>
        </w:tc>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Filters</w:t>
            </w:r>
          </w:p>
        </w:tc>
        <w:tc>
          <w:tcPr>
            <w:tcW w:type="dxa" w:w="45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Rolls Up By</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Profit &amp; Loss</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Date range, org</w:t>
            </w:r>
          </w:p>
        </w:tc>
        <w:tc>
          <w:tcPr>
            <w:tcW w:type="dxa" w:w="45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chart_of_accounts.account_category (Income/COGS/Op.Exp)</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Balance Sheet</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As-of date, org</w:t>
            </w:r>
          </w:p>
        </w:tc>
        <w:tc>
          <w:tcPr>
            <w:tcW w:type="dxa" w:w="45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chart_of_accounts.account_category (Assets/Liabilities/Equity)</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Schedule C Summary</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Tax year, org (smb only)</w:t>
            </w:r>
          </w:p>
        </w:tc>
        <w:tc>
          <w:tcPr>
            <w:tcW w:type="dxa" w:w="45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chart_of_accounts.schedule_c_line</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Form 990 Part IX</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Fiscal year, org (nonprofit only)</w:t>
            </w:r>
          </w:p>
        </w:tc>
        <w:tc>
          <w:tcPr>
            <w:tcW w:type="dxa" w:w="45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chart_of_accounts.form_990_function</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 Budget vs. Actual</w:t>
            </w:r>
          </w:p>
        </w:tc>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 date range</w:t>
            </w:r>
          </w:p>
        </w:tc>
        <w:tc>
          <w:tcPr>
            <w:tcW w:type="dxa" w:w="45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grants.budget_line_items vs. SUM(transactions where grant_id + allowable)</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IRS Mileage Log</w:t>
            </w:r>
          </w:p>
        </w:tc>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Tax year, vehicle</w:t>
            </w:r>
          </w:p>
        </w:tc>
        <w:tc>
          <w:tcPr>
            <w:tcW w:type="dxa" w:w="45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mileage_trips (business-purpose-complete only)</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11. How This Document Should Be Used</w:t>
      </w:r>
    </w:p>
    <w:p>
      <w:pPr>
        <w:pStyle w:val="ListParagraph"/>
        <w:numPr>
          <w:ilvl w:val="0"/>
          <w:numId w:val="1"/>
        </w:numPr>
        <w:spacing w:after="80"/>
        <w:ind w:left="360"/>
      </w:pPr>
      <w:r>
        <w:rPr>
          <w:rFonts w:ascii="Calibri" w:cs="Calibri" w:eastAsia="Calibri" w:hAnsi="Calibri"/>
          <w:color w:val="222222"/>
          <w:sz w:val="21"/>
          <w:szCs w:val="21"/>
        </w:rPr>
        <w:t xml:space="preserve">Hand this document, together with the two Mermaid architecture diagrams already delivered, to the developer or AI coding agent as the combined spec: diagrams show sequence and shape, this document shows the actual field-level and rule-level logic.</w:t>
      </w:r>
    </w:p>
    <w:p>
      <w:pPr>
        <w:pStyle w:val="ListParagraph"/>
        <w:numPr>
          <w:ilvl w:val="0"/>
          <w:numId w:val="1"/>
        </w:numPr>
        <w:spacing w:after="80"/>
        <w:ind w:left="360"/>
      </w:pPr>
      <w:r>
        <w:rPr>
          <w:rFonts w:ascii="Calibri" w:cs="Calibri" w:eastAsia="Calibri" w:hAnsi="Calibri"/>
          <w:color w:val="222222"/>
          <w:sz w:val="21"/>
          <w:szCs w:val="21"/>
        </w:rPr>
        <w:t xml:space="preserve">Section 2 (System Integration Flow) and Section 6 (Posting Rules) are the two sections that protect data accuracy — any implementation question that isn't answered elsewhere in this document should be resolved by re-reading those two sections first.</w:t>
      </w:r>
    </w:p>
    <w:p>
      <w:pPr>
        <w:pStyle w:val="ListParagraph"/>
        <w:numPr>
          <w:ilvl w:val="0"/>
          <w:numId w:val="1"/>
        </w:numPr>
        <w:spacing w:after="80"/>
        <w:ind w:left="360"/>
      </w:pPr>
      <w:r>
        <w:rPr>
          <w:rFonts w:ascii="Calibri" w:cs="Calibri" w:eastAsia="Calibri" w:hAnsi="Calibri"/>
          <w:color w:val="222222"/>
          <w:sz w:val="21"/>
          <w:szCs w:val="21"/>
        </w:rPr>
        <w:t xml:space="preserve">This is a living specification. As modules are built, discrepancies between this document and the working build should be resolved by updating this document, not by letting the two drift apart.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24"/>
              <w:bottom w:val="single" w:color="1B4332" w:sz="4"/>
              <w:right w:val="single" w:color="1B4332"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Brand &amp; UX Note</w:t>
            </w:r>
          </w:p>
          <w:p>
            <w:r>
              <w:rPr>
                <w:rFonts w:ascii="Calibri" w:cs="Calibri" w:eastAsia="Calibri" w:hAnsi="Calibri"/>
                <w:color w:val="222222"/>
                <w:sz w:val="20"/>
                <w:szCs w:val="20"/>
              </w:rPr>
              <w:t xml:space="preserve">All screens should be built using BFF's brand palette — Forest Green #1B4332, Metallic Gold #C9A227, Hot Pink #E85D8F — with a clean, uncluttered layout that prioritizes the Executive Dashboard's at-a-glance numbers and a friction-free capture flow (camera-to-post in as few taps as possible).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jc w:val="right"/>
    </w:pPr>
    <w:r>
      <w:rPr>
        <w:rFonts w:ascii="Calibri" w:cs="Calibri" w:eastAsia="Calibri" w:hAnsi="Calibri"/>
        <w:color w:val="999999"/>
        <w:sz w:val="16"/>
        <w:szCs w:val="16"/>
      </w:rPr>
      <w:t xml:space="preserve">Expense IQ™ Technical Specification — BFF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2026-07-29T05:42:54.324Z</dcterms:created>
  <dcterms:modified xsi:type="dcterms:W3CDTF">2026-07-29T05:42:54.337Z</dcterms:modified>
</cp:coreProperties>
</file>

<file path=docProps/custom.xml><?xml version="1.0" encoding="utf-8"?>
<Properties xmlns="http://schemas.openxmlformats.org/officeDocument/2006/custom-properties" xmlns:vt="http://schemas.openxmlformats.org/officeDocument/2006/docPropsVTypes"/>
</file>