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C852B" w14:textId="7C692371" w:rsidR="00ED506C" w:rsidRDefault="00ED506C">
      <w:pPr>
        <w:pStyle w:val="Heading1"/>
        <w:pBdr>
          <w:bottom w:val="single" w:sz="6" w:space="6" w:color="1B5E20"/>
        </w:pBdr>
      </w:pPr>
      <w:r w:rsidRPr="00ED506C">
        <w:drawing>
          <wp:anchor distT="0" distB="0" distL="114300" distR="114300" simplePos="0" relativeHeight="251658240" behindDoc="1" locked="0" layoutInCell="1" allowOverlap="1" wp14:anchorId="014EB722" wp14:editId="558FAEF4">
            <wp:simplePos x="0" y="0"/>
            <wp:positionH relativeFrom="page">
              <wp:align>left</wp:align>
            </wp:positionH>
            <wp:positionV relativeFrom="paragraph">
              <wp:posOffset>-914400</wp:posOffset>
            </wp:positionV>
            <wp:extent cx="5943600" cy="1600200"/>
            <wp:effectExtent l="0" t="0" r="0" b="0"/>
            <wp:wrapNone/>
            <wp:docPr id="34277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75137"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1600200"/>
                    </a:xfrm>
                    <a:prstGeom prst="rect">
                      <a:avLst/>
                    </a:prstGeom>
                  </pic:spPr>
                </pic:pic>
              </a:graphicData>
            </a:graphic>
          </wp:anchor>
        </w:drawing>
      </w:r>
      <w:r>
        <w:br/>
      </w:r>
    </w:p>
    <w:p w14:paraId="6B4BE24B" w14:textId="3E6EB82E" w:rsidR="00727555" w:rsidRDefault="00000000">
      <w:pPr>
        <w:pStyle w:val="Heading1"/>
        <w:pBdr>
          <w:bottom w:val="single" w:sz="6" w:space="6" w:color="1B5E20"/>
        </w:pBdr>
      </w:pPr>
      <w:r>
        <w:t>1. Market Context</w:t>
      </w:r>
    </w:p>
    <w:p w14:paraId="593555A6" w14:textId="77777777" w:rsidR="00727555" w:rsidRDefault="00000000">
      <w:pPr>
        <w:spacing w:before="80" w:after="120"/>
      </w:pPr>
      <w:r>
        <w:t>The green bond market reached approximately $2.9 trillion outstanding by end of 2024, with annual issuance of around $700 billion (BIS, 2024). European issuers account for 45–55% of global sustainable bond issuance. The market has grown from near zero in 2014 to one of the largest fixed-income categories in a decade.</w:t>
      </w:r>
    </w:p>
    <w:p w14:paraId="6E23ABA0" w14:textId="77777777" w:rsidR="00727555" w:rsidRDefault="00727555">
      <w:pPr>
        <w:spacing w:before="60"/>
      </w:pPr>
    </w:p>
    <w:p w14:paraId="697C0FA9" w14:textId="77777777" w:rsidR="00727555" w:rsidRDefault="00000000">
      <w:pPr>
        <w:spacing w:before="80" w:after="120"/>
      </w:pPr>
      <w:r>
        <w:rPr>
          <w:b/>
          <w:bCs/>
          <w:color w:val="B45309"/>
        </w:rPr>
        <w:t>[TBC: What proportion of issuance originates from corporate treasury departments]</w:t>
      </w:r>
    </w:p>
    <w:p w14:paraId="5771AE05" w14:textId="77777777" w:rsidR="00727555" w:rsidRDefault="00727555">
      <w:pPr>
        <w:spacing w:before="80"/>
      </w:pPr>
    </w:p>
    <w:p w14:paraId="3F2DD7AC" w14:textId="5B8947E0" w:rsidR="00727555" w:rsidRDefault="00000000">
      <w:pPr>
        <w:spacing w:before="80" w:after="120"/>
      </w:pPr>
      <w:r>
        <w:t>Th</w:t>
      </w:r>
      <w:r w:rsidR="00ED506C">
        <w:t>is</w:t>
      </w:r>
      <w:r>
        <w:t xml:space="preserve"> growth is being formalised into law. What was a voluntary reporting framework</w:t>
      </w:r>
      <w:r w:rsidR="00ED506C">
        <w:t>,</w:t>
      </w:r>
      <w:r>
        <w:t xml:space="preserve"> green bonds governed by ICMA principles, external reviews produced at the issuer's discretion</w:t>
      </w:r>
      <w:r w:rsidR="00ED506C">
        <w:t>,</w:t>
      </w:r>
      <w:r>
        <w:t xml:space="preserve"> is being replaced by mandatory, auditable obligations:</w:t>
      </w:r>
    </w:p>
    <w:p w14:paraId="5CB7C3DD" w14:textId="77777777" w:rsidR="00727555" w:rsidRDefault="00727555">
      <w:pPr>
        <w:spacing w:before="40"/>
      </w:pPr>
    </w:p>
    <w:p w14:paraId="10E1E216" w14:textId="77777777" w:rsidR="00727555" w:rsidRDefault="00000000">
      <w:pPr>
        <w:pStyle w:val="ListParagraph"/>
        <w:numPr>
          <w:ilvl w:val="0"/>
          <w:numId w:val="2"/>
        </w:numPr>
        <w:spacing w:before="60" w:after="60"/>
      </w:pPr>
      <w:r>
        <w:t>EU Green Bond Regulation (from 21 December 2024): mandatory external review at pre-issuance and post-issuance stages for bonds marketed as EU green bonds</w:t>
      </w:r>
    </w:p>
    <w:p w14:paraId="44AB0F94" w14:textId="77777777" w:rsidR="00727555" w:rsidRDefault="00000000">
      <w:pPr>
        <w:pStyle w:val="ListParagraph"/>
        <w:numPr>
          <w:ilvl w:val="0"/>
          <w:numId w:val="2"/>
        </w:numPr>
        <w:spacing w:before="60" w:after="60"/>
      </w:pPr>
      <w:r>
        <w:t>CSRD: mandatory third-party assurance and digitally tagged sustainability reporting, applying to approximately 50,000 large and listed companies from 2025</w:t>
      </w:r>
    </w:p>
    <w:p w14:paraId="71817355" w14:textId="77777777" w:rsidR="00727555" w:rsidRDefault="00000000">
      <w:pPr>
        <w:pStyle w:val="ListParagraph"/>
        <w:numPr>
          <w:ilvl w:val="0"/>
          <w:numId w:val="2"/>
        </w:numPr>
        <w:spacing w:before="60" w:after="60"/>
      </w:pPr>
      <w:r>
        <w:t>CSDDD: fines up to 5% of global net turnover; applies to companies with 1,000+ employees and €450m+ turnover (€450m+ EU turnover for non-EU companies)</w:t>
      </w:r>
    </w:p>
    <w:p w14:paraId="0E328A87" w14:textId="77777777" w:rsidR="00727555" w:rsidRDefault="00000000">
      <w:pPr>
        <w:pStyle w:val="ListParagraph"/>
        <w:numPr>
          <w:ilvl w:val="0"/>
          <w:numId w:val="2"/>
        </w:numPr>
        <w:spacing w:before="60" w:after="60"/>
      </w:pPr>
      <w:r>
        <w:t>FCA anti-greenwashing rule (from 31 May 2024): sustainability claims by authorised firms must be fair, clear, and backed by verifiable evidence</w:t>
      </w:r>
    </w:p>
    <w:p w14:paraId="43F92041" w14:textId="77777777" w:rsidR="00727555" w:rsidRDefault="00727555">
      <w:pPr>
        <w:spacing w:before="80"/>
      </w:pPr>
    </w:p>
    <w:p w14:paraId="475734D4" w14:textId="77777777" w:rsidR="00727555" w:rsidRDefault="00000000">
      <w:pPr>
        <w:spacing w:before="80" w:after="120"/>
      </w:pPr>
      <w:r>
        <w:t>The effect is that a large and growing portion of the green bond market now has legal compliance obligations where it previously had only reputational ones. Issuers and holders operating under these frameworks need to evidence green status continuously — not just at the point of issuance.</w:t>
      </w:r>
    </w:p>
    <w:p w14:paraId="77929356" w14:textId="77777777" w:rsidR="00727555" w:rsidRDefault="00727555">
      <w:pPr>
        <w:spacing w:before="240"/>
      </w:pPr>
    </w:p>
    <w:p w14:paraId="4D2B40C7" w14:textId="77777777" w:rsidR="00727555" w:rsidRDefault="00000000">
      <w:pPr>
        <w:pStyle w:val="Heading1"/>
        <w:pBdr>
          <w:bottom w:val="single" w:sz="6" w:space="6" w:color="1B5E20"/>
        </w:pBdr>
      </w:pPr>
      <w:r>
        <w:t>2. The Problem</w:t>
      </w:r>
    </w:p>
    <w:p w14:paraId="0F60F9EC" w14:textId="583B1CB4" w:rsidR="00727555" w:rsidRDefault="00000000">
      <w:pPr>
        <w:spacing w:before="80" w:after="120"/>
      </w:pPr>
      <w:r>
        <w:t xml:space="preserve">The infrastructure has not kept pace with the regulatory requirements. Green bonds are certified at issuance by an external reviewer producing a PDF report. After that, there is no standing mechanism to confirm a bond remains compliant. Covenants can be breached. Project milestones can slip. Standards can change. The holder </w:t>
      </w:r>
      <w:r w:rsidR="00ED506C">
        <w:t>/ issuer has no way of knowing</w:t>
      </w:r>
    </w:p>
    <w:p w14:paraId="16608E3B" w14:textId="77777777" w:rsidR="00727555" w:rsidRDefault="00727555">
      <w:pPr>
        <w:spacing w:before="80"/>
      </w:pPr>
    </w:p>
    <w:p w14:paraId="113D2974" w14:textId="77777777" w:rsidR="00727555" w:rsidRDefault="00000000">
      <w:pPr>
        <w:spacing w:before="80" w:after="120"/>
      </w:pPr>
      <w:r>
        <w:t xml:space="preserve">The EU defines greenwashing as inauthentic measurement of ESG credentials. Under both EU and UK rules, sustainability claims that cannot be traced to verifiable evidence now carry legal </w:t>
      </w:r>
      <w:r>
        <w:lastRenderedPageBreak/>
        <w:t>risk. A treasury holding green bonds it cannot evidence may be exposed under CSRD, the FCA anti-greenwashing rule, or both.</w:t>
      </w:r>
    </w:p>
    <w:p w14:paraId="726C0D92" w14:textId="77777777" w:rsidR="00727555" w:rsidRDefault="00727555">
      <w:pPr>
        <w:spacing w:before="80"/>
      </w:pPr>
    </w:p>
    <w:p w14:paraId="3651905A" w14:textId="4D88F214" w:rsidR="00727555" w:rsidRDefault="00000000">
      <w:pPr>
        <w:spacing w:before="80" w:after="120"/>
      </w:pPr>
      <w:r>
        <w:t>The questions a treasury professional must be able to answer</w:t>
      </w:r>
      <w:r w:rsidR="00ED506C">
        <w:t>;</w:t>
      </w:r>
      <w:r>
        <w:t xml:space="preserve"> and currently cannot without significant manual work:</w:t>
      </w:r>
    </w:p>
    <w:p w14:paraId="721B9F57" w14:textId="77777777" w:rsidR="00727555" w:rsidRDefault="00727555">
      <w:pPr>
        <w:spacing w:before="40"/>
      </w:pPr>
    </w:p>
    <w:p w14:paraId="28BCB3DC" w14:textId="77777777" w:rsidR="00727555" w:rsidRDefault="00000000">
      <w:pPr>
        <w:pStyle w:val="ListParagraph"/>
        <w:numPr>
          <w:ilvl w:val="0"/>
          <w:numId w:val="2"/>
        </w:numPr>
        <w:spacing w:before="60" w:after="60"/>
      </w:pPr>
      <w:r>
        <w:t>Is this bond compliant now, under the current applicable standard?</w:t>
      </w:r>
    </w:p>
    <w:p w14:paraId="6A4CBE16" w14:textId="77777777" w:rsidR="00727555" w:rsidRDefault="00000000">
      <w:pPr>
        <w:pStyle w:val="ListParagraph"/>
        <w:numPr>
          <w:ilvl w:val="0"/>
          <w:numId w:val="2"/>
        </w:numPr>
        <w:spacing w:before="60" w:after="60"/>
      </w:pPr>
      <w:r>
        <w:t>Has its status changed since purchase?</w:t>
      </w:r>
    </w:p>
    <w:p w14:paraId="1D25308E" w14:textId="77777777" w:rsidR="00727555" w:rsidRDefault="00000000">
      <w:pPr>
        <w:pStyle w:val="ListParagraph"/>
        <w:numPr>
          <w:ilvl w:val="0"/>
          <w:numId w:val="2"/>
        </w:numPr>
        <w:spacing w:before="60" w:after="60"/>
      </w:pPr>
      <w:r>
        <w:t>Who verified it, and when?</w:t>
      </w:r>
    </w:p>
    <w:p w14:paraId="36C473E7" w14:textId="77777777" w:rsidR="00727555" w:rsidRDefault="00000000">
      <w:pPr>
        <w:pStyle w:val="ListParagraph"/>
        <w:numPr>
          <w:ilvl w:val="0"/>
          <w:numId w:val="2"/>
        </w:numPr>
        <w:spacing w:before="60" w:after="60"/>
      </w:pPr>
      <w:r>
        <w:t>Can I evidence proceeds allocation to a regulator without manual reconciliation?</w:t>
      </w:r>
    </w:p>
    <w:p w14:paraId="55E66C4D" w14:textId="36715DFE" w:rsidR="00727555" w:rsidRDefault="00000000" w:rsidP="00ED506C">
      <w:pPr>
        <w:pStyle w:val="ListParagraph"/>
        <w:numPr>
          <w:ilvl w:val="0"/>
          <w:numId w:val="2"/>
        </w:numPr>
        <w:spacing w:before="60" w:after="60"/>
      </w:pPr>
      <w:r>
        <w:t>Am I at risk of covenant breach?</w:t>
      </w:r>
    </w:p>
    <w:p w14:paraId="03D5A9C8" w14:textId="77777777" w:rsidR="00727555" w:rsidRDefault="00000000">
      <w:pPr>
        <w:pStyle w:val="Heading1"/>
        <w:pBdr>
          <w:bottom w:val="single" w:sz="6" w:space="6" w:color="1B5E20"/>
        </w:pBdr>
      </w:pPr>
      <w:r>
        <w:t>3. The Solution</w:t>
      </w:r>
    </w:p>
    <w:p w14:paraId="36DF0F09" w14:textId="77777777" w:rsidR="00727555" w:rsidRDefault="00000000">
      <w:pPr>
        <w:spacing w:before="80" w:after="120"/>
      </w:pPr>
      <w:proofErr w:type="spellStart"/>
      <w:r>
        <w:t>GreenTrace</w:t>
      </w:r>
      <w:proofErr w:type="spellEnd"/>
      <w:r>
        <w:t xml:space="preserve"> is a continuous green bond issuance and verification platform built on XRPL. Bond issuance is live on XRPL Devnet. The credential-gating and RLUSD payment flows described below are built and demonstrable. All XRPL amendment references reflect the architecture as implemented; further validation against production documentation will be completed before </w:t>
      </w:r>
      <w:proofErr w:type="spellStart"/>
      <w:r>
        <w:t>mainnet</w:t>
      </w:r>
      <w:proofErr w:type="spellEnd"/>
      <w:r>
        <w:t xml:space="preserve"> deployment.</w:t>
      </w:r>
    </w:p>
    <w:p w14:paraId="26509AA5" w14:textId="77777777" w:rsidR="00727555" w:rsidRDefault="00727555">
      <w:pPr>
        <w:spacing w:before="160"/>
      </w:pPr>
    </w:p>
    <w:p w14:paraId="7D4985A1" w14:textId="77777777" w:rsidR="00727555" w:rsidRDefault="00000000">
      <w:pPr>
        <w:pStyle w:val="Heading2"/>
      </w:pPr>
      <w:r>
        <w:t>How green status is determined</w:t>
      </w:r>
    </w:p>
    <w:p w14:paraId="08985B97" w14:textId="77777777" w:rsidR="00727555" w:rsidRDefault="00000000">
      <w:pPr>
        <w:spacing w:before="80" w:after="120"/>
      </w:pPr>
      <w:r>
        <w:t>A bond must pass all three standards to hold green status:</w:t>
      </w:r>
    </w:p>
    <w:p w14:paraId="57FE6B1F" w14:textId="77777777" w:rsidR="00727555" w:rsidRDefault="00727555">
      <w:pPr>
        <w:spacing w:before="40"/>
      </w:pPr>
    </w:p>
    <w:p w14:paraId="5660781A" w14:textId="77777777" w:rsidR="00727555" w:rsidRDefault="00000000">
      <w:pPr>
        <w:pStyle w:val="ListParagraph"/>
        <w:numPr>
          <w:ilvl w:val="0"/>
          <w:numId w:val="2"/>
        </w:numPr>
        <w:spacing w:before="60" w:after="60"/>
      </w:pPr>
      <w:r>
        <w:t>ICMA Green Bond Principles</w:t>
      </w:r>
    </w:p>
    <w:p w14:paraId="4DEC503E" w14:textId="77777777" w:rsidR="00727555" w:rsidRDefault="00000000">
      <w:pPr>
        <w:pStyle w:val="ListParagraph"/>
        <w:numPr>
          <w:ilvl w:val="0"/>
          <w:numId w:val="2"/>
        </w:numPr>
        <w:spacing w:before="60" w:after="60"/>
      </w:pPr>
      <w:r>
        <w:t>EU Taxonomy alignment</w:t>
      </w:r>
    </w:p>
    <w:p w14:paraId="7DCF2958" w14:textId="77777777" w:rsidR="00727555" w:rsidRDefault="00000000">
      <w:pPr>
        <w:pStyle w:val="ListParagraph"/>
        <w:numPr>
          <w:ilvl w:val="0"/>
          <w:numId w:val="2"/>
        </w:numPr>
        <w:spacing w:before="60" w:after="60"/>
      </w:pPr>
      <w:r>
        <w:t>Climate Bonds Standard</w:t>
      </w:r>
    </w:p>
    <w:p w14:paraId="0F721879" w14:textId="77777777" w:rsidR="00727555" w:rsidRDefault="00727555">
      <w:pPr>
        <w:spacing w:before="80"/>
      </w:pPr>
    </w:p>
    <w:p w14:paraId="2721850B" w14:textId="77777777" w:rsidR="00727555" w:rsidRDefault="00000000">
      <w:pPr>
        <w:spacing w:before="80" w:after="120"/>
      </w:pPr>
      <w:r>
        <w:t>All three are recorded as parameters in the on-chain credential attached to the bond. If any parameter fails, the bond does not hold green status. The credential updates when a new attestation is received from a verified reviewer.</w:t>
      </w:r>
    </w:p>
    <w:p w14:paraId="4BF9BB7B" w14:textId="77777777" w:rsidR="00727555" w:rsidRDefault="00727555">
      <w:pPr>
        <w:spacing w:before="160"/>
      </w:pPr>
    </w:p>
    <w:p w14:paraId="469A3846" w14:textId="77777777" w:rsidR="00727555" w:rsidRDefault="00000000">
      <w:pPr>
        <w:pStyle w:val="Heading2"/>
      </w:pPr>
      <w:r>
        <w:t>What is built — V1</w:t>
      </w:r>
    </w:p>
    <w:p w14:paraId="256DA00F" w14:textId="77777777" w:rsidR="00727555" w:rsidRDefault="0072755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727555" w14:paraId="120020D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tcPr>
          <w:p w14:paraId="79A235FD" w14:textId="77777777" w:rsidR="00727555" w:rsidRDefault="00000000">
            <w:r>
              <w:rPr>
                <w:b/>
                <w:bCs/>
                <w:color w:val="FFFFFF"/>
                <w:sz w:val="20"/>
                <w:szCs w:val="20"/>
              </w:rPr>
              <w:t>Feature</w:t>
            </w:r>
          </w:p>
        </w:tc>
        <w:tc>
          <w:tcPr>
            <w:tcW w:w="336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tcPr>
          <w:p w14:paraId="5EFE233E" w14:textId="77777777" w:rsidR="00727555" w:rsidRDefault="00000000">
            <w:r>
              <w:rPr>
                <w:b/>
                <w:bCs/>
                <w:color w:val="FFFFFF"/>
                <w:sz w:val="20"/>
                <w:szCs w:val="20"/>
              </w:rPr>
              <w:t>How it works</w:t>
            </w:r>
          </w:p>
        </w:tc>
        <w:tc>
          <w:tcPr>
            <w:tcW w:w="36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tcPr>
          <w:p w14:paraId="569AF6EF" w14:textId="77777777" w:rsidR="00727555" w:rsidRDefault="00000000">
            <w:r>
              <w:rPr>
                <w:b/>
                <w:bCs/>
                <w:color w:val="FFFFFF"/>
                <w:sz w:val="20"/>
                <w:szCs w:val="20"/>
              </w:rPr>
              <w:t>Status</w:t>
            </w:r>
          </w:p>
        </w:tc>
      </w:tr>
      <w:tr w:rsidR="00727555" w14:paraId="0D0783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F9A9A9" w14:textId="77777777" w:rsidR="00727555" w:rsidRDefault="00000000">
            <w:r>
              <w:rPr>
                <w:sz w:val="20"/>
                <w:szCs w:val="20"/>
              </w:rPr>
              <w:t>Bond issuance (XLS-33 MPT)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EE7708" w14:textId="77777777" w:rsidR="00727555" w:rsidRDefault="00000000">
            <w:r>
              <w:rPr>
                <w:sz w:val="20"/>
                <w:szCs w:val="20"/>
              </w:rPr>
              <w:t xml:space="preserve">Each green bond is issued as an MPT. Token metadata carries the green framework, applicable standards, and covenant terms. </w:t>
            </w:r>
            <w:proofErr w:type="spellStart"/>
            <w:r>
              <w:rPr>
                <w:sz w:val="20"/>
                <w:szCs w:val="20"/>
              </w:rPr>
              <w:t>requireAuth</w:t>
            </w:r>
            <w:proofErr w:type="spellEnd"/>
            <w:r>
              <w:rPr>
                <w:sz w:val="20"/>
                <w:szCs w:val="20"/>
              </w:rPr>
              <w:t xml:space="preserve"> ensures only credentialed parties can hold it.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596869" w14:textId="77777777" w:rsidR="00727555" w:rsidRDefault="00000000">
            <w:r>
              <w:rPr>
                <w:sz w:val="20"/>
                <w:szCs w:val="20"/>
              </w:rPr>
              <w:t>Live on Devnet — transaction verified on-chain</w:t>
            </w:r>
          </w:p>
        </w:tc>
      </w:tr>
      <w:tr w:rsidR="00727555" w14:paraId="244DF8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4533D51" w14:textId="77777777" w:rsidR="00727555" w:rsidRDefault="00000000">
            <w:r>
              <w:rPr>
                <w:sz w:val="20"/>
                <w:szCs w:val="20"/>
              </w:rPr>
              <w:lastRenderedPageBreak/>
              <w:t>Green credential (XLS-70)</w:t>
            </w:r>
          </w:p>
        </w:tc>
        <w:tc>
          <w:tcPr>
            <w:tcW w:w="3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864327B" w14:textId="77777777" w:rsidR="00727555" w:rsidRDefault="00000000">
            <w:r>
              <w:rPr>
                <w:sz w:val="20"/>
                <w:szCs w:val="20"/>
              </w:rPr>
              <w:t xml:space="preserve">An on-chain credential is attached to the bond wallet recording: </w:t>
            </w:r>
            <w:proofErr w:type="spellStart"/>
            <w:r>
              <w:rPr>
                <w:sz w:val="20"/>
                <w:szCs w:val="20"/>
              </w:rPr>
              <w:t>Bond_Status</w:t>
            </w:r>
            <w:proofErr w:type="spellEnd"/>
            <w:r>
              <w:rPr>
                <w:sz w:val="20"/>
                <w:szCs w:val="20"/>
              </w:rPr>
              <w:t xml:space="preserve">, Standard (EU Green Bond Standard), </w:t>
            </w:r>
            <w:proofErr w:type="spellStart"/>
            <w:r>
              <w:rPr>
                <w:sz w:val="20"/>
                <w:szCs w:val="20"/>
              </w:rPr>
              <w:t>Verified_By</w:t>
            </w:r>
            <w:proofErr w:type="spellEnd"/>
            <w:r>
              <w:rPr>
                <w:sz w:val="20"/>
                <w:szCs w:val="20"/>
              </w:rPr>
              <w:t xml:space="preserve"> (e.g. KPMG), </w:t>
            </w:r>
            <w:proofErr w:type="spellStart"/>
            <w:r>
              <w:rPr>
                <w:sz w:val="20"/>
                <w:szCs w:val="20"/>
              </w:rPr>
              <w:t>EU_Taxonomy</w:t>
            </w:r>
            <w:proofErr w:type="spellEnd"/>
            <w:r>
              <w:rPr>
                <w:sz w:val="20"/>
                <w:szCs w:val="20"/>
              </w:rPr>
              <w:t xml:space="preserve"> result, ICMA result, and Climate Bonds Standard result. The credential updates when a new attestation arrives.</w:t>
            </w:r>
          </w:p>
        </w:tc>
        <w:tc>
          <w:tcPr>
            <w:tcW w:w="3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6F15B71" w14:textId="77777777" w:rsidR="00727555" w:rsidRDefault="00000000">
            <w:r>
              <w:rPr>
                <w:sz w:val="20"/>
                <w:szCs w:val="20"/>
              </w:rPr>
              <w:t>Built and demonstrable</w:t>
            </w:r>
          </w:p>
        </w:tc>
      </w:tr>
      <w:tr w:rsidR="00727555" w14:paraId="13A184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36FFE9" w14:textId="77777777" w:rsidR="00727555" w:rsidRDefault="00000000">
            <w:r>
              <w:rPr>
                <w:sz w:val="20"/>
                <w:szCs w:val="20"/>
              </w:rPr>
              <w:t>Credential-gated purchase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046981" w14:textId="77777777" w:rsidR="00727555" w:rsidRDefault="00000000">
            <w:r>
              <w:rPr>
                <w:sz w:val="20"/>
                <w:szCs w:val="20"/>
              </w:rPr>
              <w:t>Wallet A (credentialed) can buy the bond. Wallet B (no credential) is rejected at the protocol level. This is the mechanism that prevents a non-compliant party from holding a green bond.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506E3A" w14:textId="77777777" w:rsidR="00727555" w:rsidRDefault="00000000">
            <w:r>
              <w:rPr>
                <w:sz w:val="20"/>
                <w:szCs w:val="20"/>
              </w:rPr>
              <w:t>Built and demonstrable — key demo moment</w:t>
            </w:r>
          </w:p>
        </w:tc>
      </w:tr>
      <w:tr w:rsidR="00727555" w14:paraId="3C92FE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65F765E" w14:textId="77777777" w:rsidR="00727555" w:rsidRDefault="00000000">
            <w:r>
              <w:rPr>
                <w:sz w:val="20"/>
                <w:szCs w:val="20"/>
              </w:rPr>
              <w:t>RLUSD payment</w:t>
            </w:r>
          </w:p>
        </w:tc>
        <w:tc>
          <w:tcPr>
            <w:tcW w:w="3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74CCFCA" w14:textId="77777777" w:rsidR="00727555" w:rsidRDefault="00000000">
            <w:r>
              <w:rPr>
                <w:sz w:val="20"/>
                <w:szCs w:val="20"/>
              </w:rPr>
              <w:t>Bond purchases settle in RLUSD. Test RLUSD sourced from tryrlusd.com.</w:t>
            </w:r>
          </w:p>
        </w:tc>
        <w:tc>
          <w:tcPr>
            <w:tcW w:w="3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8CC317B" w14:textId="77777777" w:rsidR="00727555" w:rsidRDefault="00000000">
            <w:r>
              <w:rPr>
                <w:sz w:val="20"/>
                <w:szCs w:val="20"/>
              </w:rPr>
              <w:t>Integration in progress</w:t>
            </w:r>
          </w:p>
        </w:tc>
      </w:tr>
      <w:tr w:rsidR="00727555" w14:paraId="741699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496E68" w14:textId="77777777" w:rsidR="00727555" w:rsidRDefault="00000000">
            <w:r>
              <w:rPr>
                <w:sz w:val="20"/>
                <w:szCs w:val="20"/>
              </w:rPr>
              <w:t>Investor credential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1D761C" w14:textId="77777777" w:rsidR="00727555" w:rsidRDefault="00000000">
            <w:r>
              <w:rPr>
                <w:sz w:val="20"/>
                <w:szCs w:val="20"/>
              </w:rPr>
              <w:t>Confirms KYC and accredited status for the buying wallet.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48BA0F" w14:textId="77777777" w:rsidR="00727555" w:rsidRDefault="00000000">
            <w:r>
              <w:rPr>
                <w:sz w:val="20"/>
                <w:szCs w:val="20"/>
              </w:rPr>
              <w:t>Built and demonstrable</w:t>
            </w:r>
          </w:p>
        </w:tc>
      </w:tr>
    </w:tbl>
    <w:p w14:paraId="220CC635" w14:textId="77777777" w:rsidR="00727555" w:rsidRDefault="00727555">
      <w:pPr>
        <w:spacing w:before="160"/>
      </w:pPr>
    </w:p>
    <w:p w14:paraId="5F1CA3F6" w14:textId="77777777" w:rsidR="00727555" w:rsidRDefault="00000000">
      <w:pPr>
        <w:pStyle w:val="Heading2"/>
      </w:pPr>
      <w:r>
        <w:t>Full architecture — how the XRPL stack fits together</w:t>
      </w:r>
    </w:p>
    <w:p w14:paraId="68CB03DC" w14:textId="77777777" w:rsidR="00727555" w:rsidRDefault="00727555">
      <w:pPr>
        <w:spacing w:before="80"/>
      </w:pPr>
    </w:p>
    <w:p w14:paraId="4F5FF38D" w14:textId="77777777" w:rsidR="00727555" w:rsidRDefault="00000000">
      <w:pPr>
        <w:spacing w:before="80" w:after="120"/>
      </w:pPr>
      <w:r>
        <w:t>The V1 build sits within a broader architecture designed around five XRPL features:</w:t>
      </w:r>
    </w:p>
    <w:p w14:paraId="2F0F3FE4" w14:textId="77777777" w:rsidR="00727555" w:rsidRDefault="0072755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27555" w14:paraId="00A0F009"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tcPr>
          <w:p w14:paraId="7712D53B" w14:textId="77777777" w:rsidR="00727555" w:rsidRDefault="00000000">
            <w:r>
              <w:rPr>
                <w:b/>
                <w:bCs/>
                <w:color w:val="FFFFFF"/>
                <w:sz w:val="20"/>
                <w:szCs w:val="20"/>
              </w:rPr>
              <w:t>XRPL Feature</w:t>
            </w:r>
          </w:p>
        </w:tc>
        <w:tc>
          <w:tcPr>
            <w:tcW w:w="696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tcPr>
          <w:p w14:paraId="288B3C9C" w14:textId="77777777" w:rsidR="00727555" w:rsidRDefault="00000000">
            <w:r>
              <w:rPr>
                <w:b/>
                <w:bCs/>
                <w:color w:val="FFFFFF"/>
                <w:sz w:val="20"/>
                <w:szCs w:val="20"/>
              </w:rPr>
              <w:t xml:space="preserve">Role in </w:t>
            </w:r>
            <w:proofErr w:type="spellStart"/>
            <w:r>
              <w:rPr>
                <w:b/>
                <w:bCs/>
                <w:color w:val="FFFFFF"/>
                <w:sz w:val="20"/>
                <w:szCs w:val="20"/>
              </w:rPr>
              <w:t>GreenTrace</w:t>
            </w:r>
            <w:proofErr w:type="spellEnd"/>
          </w:p>
        </w:tc>
      </w:tr>
      <w:tr w:rsidR="00727555" w14:paraId="4AF3C2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25480F" w14:textId="77777777" w:rsidR="00727555" w:rsidRDefault="00000000">
            <w:r>
              <w:rPr>
                <w:sz w:val="20"/>
                <w:szCs w:val="20"/>
              </w:rPr>
              <w:t>Single Asset Vault (XLS-65)</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4A4988" w14:textId="77777777" w:rsidR="00727555" w:rsidRDefault="00000000">
            <w:r>
              <w:rPr>
                <w:sz w:val="20"/>
                <w:szCs w:val="20"/>
              </w:rPr>
              <w:t>Investors deposit RLUSD into a single-asset vault. The vault issues MPT shares representing each investor's proportional holding. Cross-border investors can bridge through XRP within the same permissioned perimeter.</w:t>
            </w:r>
          </w:p>
        </w:tc>
      </w:tr>
      <w:tr w:rsidR="00727555" w14:paraId="1330DB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484BE2A" w14:textId="77777777" w:rsidR="00727555" w:rsidRDefault="00000000">
            <w:proofErr w:type="spellStart"/>
            <w:r>
              <w:rPr>
                <w:sz w:val="20"/>
                <w:szCs w:val="20"/>
              </w:rPr>
              <w:t>MPToken</w:t>
            </w:r>
            <w:proofErr w:type="spellEnd"/>
            <w:r>
              <w:rPr>
                <w:sz w:val="20"/>
                <w:szCs w:val="20"/>
              </w:rPr>
              <w:t xml:space="preserve"> (XLS-33)</w:t>
            </w:r>
          </w:p>
        </w:tc>
        <w:tc>
          <w:tcPr>
            <w:tcW w:w="69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380119E" w14:textId="77777777" w:rsidR="00727555" w:rsidRDefault="00000000">
            <w:r>
              <w:rPr>
                <w:sz w:val="20"/>
                <w:szCs w:val="20"/>
              </w:rPr>
              <w:t>Each green bond is issued as an MPT. Token metadata carries the green framework, project details, applicable standard, and covenant terms.</w:t>
            </w:r>
          </w:p>
        </w:tc>
      </w:tr>
      <w:tr w:rsidR="00727555" w14:paraId="53DD57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6A35D4" w14:textId="77777777" w:rsidR="00727555" w:rsidRDefault="00000000">
            <w:r>
              <w:rPr>
                <w:sz w:val="20"/>
                <w:szCs w:val="20"/>
              </w:rPr>
              <w:t>Lending Protocol (XLS-66)</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9FD5E5" w14:textId="77777777" w:rsidR="00727555" w:rsidRDefault="00000000">
            <w:r>
              <w:rPr>
                <w:sz w:val="20"/>
                <w:szCs w:val="20"/>
              </w:rPr>
              <w:t>The vault extends pooled RLUSD to the issuer as a fixed-term loan with a defined coupon, term, and repayment schedule. Repayments flow back into the vault.</w:t>
            </w:r>
          </w:p>
        </w:tc>
      </w:tr>
      <w:tr w:rsidR="00727555" w14:paraId="4E3B49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D6FFB5D" w14:textId="77777777" w:rsidR="00727555" w:rsidRDefault="00000000">
            <w:r>
              <w:rPr>
                <w:sz w:val="20"/>
                <w:szCs w:val="20"/>
              </w:rPr>
              <w:t>Token Escrow (XLS-85)</w:t>
            </w:r>
          </w:p>
        </w:tc>
        <w:tc>
          <w:tcPr>
            <w:tcW w:w="69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C0B07E8" w14:textId="77777777" w:rsidR="00727555" w:rsidRDefault="00000000">
            <w:r>
              <w:rPr>
                <w:sz w:val="20"/>
                <w:szCs w:val="20"/>
              </w:rPr>
              <w:t xml:space="preserve">Loan principal is disbursed in tranches. Each tranche releases only when a defined project milestone is met and attested </w:t>
            </w:r>
            <w:proofErr w:type="gramStart"/>
            <w:r>
              <w:rPr>
                <w:sz w:val="20"/>
                <w:szCs w:val="20"/>
              </w:rPr>
              <w:t>on-chain</w:t>
            </w:r>
            <w:proofErr w:type="gramEnd"/>
            <w:r>
              <w:rPr>
                <w:sz w:val="20"/>
                <w:szCs w:val="20"/>
              </w:rPr>
              <w:t>.</w:t>
            </w:r>
          </w:p>
        </w:tc>
      </w:tr>
      <w:tr w:rsidR="00727555" w14:paraId="6D1002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7F2424" w14:textId="77777777" w:rsidR="00727555" w:rsidRDefault="00000000">
            <w:r>
              <w:rPr>
                <w:sz w:val="20"/>
                <w:szCs w:val="20"/>
              </w:rPr>
              <w:t>Credentials (XLS-70)</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9A49DA" w14:textId="77777777" w:rsidR="00727555" w:rsidRDefault="00000000">
            <w:r>
              <w:rPr>
                <w:sz w:val="20"/>
                <w:szCs w:val="20"/>
              </w:rPr>
              <w:t>On-chain credentials gate who can hold the bond and record the bond's verified green status, updated on each new attestation.</w:t>
            </w:r>
          </w:p>
        </w:tc>
      </w:tr>
    </w:tbl>
    <w:p w14:paraId="1A44199E" w14:textId="77777777" w:rsidR="00727555" w:rsidRDefault="00727555">
      <w:pPr>
        <w:spacing w:before="160"/>
      </w:pPr>
    </w:p>
    <w:p w14:paraId="419789A8" w14:textId="77777777" w:rsidR="00727555" w:rsidRDefault="00000000">
      <w:pPr>
        <w:pStyle w:val="Heading2"/>
      </w:pPr>
      <w:r>
        <w:lastRenderedPageBreak/>
        <w:t>Transaction flow</w:t>
      </w:r>
    </w:p>
    <w:p w14:paraId="6D88C1E7" w14:textId="77777777" w:rsidR="00727555" w:rsidRDefault="0072755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340"/>
        <w:gridCol w:w="2700"/>
        <w:gridCol w:w="3540"/>
      </w:tblGrid>
      <w:tr w:rsidR="00727555" w14:paraId="51760F9A" w14:textId="77777777">
        <w:tblPrEx>
          <w:tblCellMar>
            <w:top w:w="0" w:type="dxa"/>
            <w:bottom w:w="0" w:type="dxa"/>
          </w:tblCellMar>
        </w:tblPrEx>
        <w:trPr>
          <w:tblHeader/>
        </w:trPr>
        <w:tc>
          <w:tcPr>
            <w:tcW w:w="78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tcPr>
          <w:p w14:paraId="3283ACE3" w14:textId="77777777" w:rsidR="00727555" w:rsidRDefault="00000000">
            <w:r>
              <w:rPr>
                <w:b/>
                <w:bCs/>
                <w:color w:val="FFFFFF"/>
                <w:sz w:val="20"/>
                <w:szCs w:val="20"/>
              </w:rPr>
              <w:t>Step</w:t>
            </w:r>
          </w:p>
        </w:tc>
        <w:tc>
          <w:tcPr>
            <w:tcW w:w="234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tcPr>
          <w:p w14:paraId="008C3E96" w14:textId="77777777" w:rsidR="00727555" w:rsidRDefault="00000000">
            <w:r>
              <w:rPr>
                <w:b/>
                <w:bCs/>
                <w:color w:val="FFFFFF"/>
                <w:sz w:val="20"/>
                <w:szCs w:val="20"/>
              </w:rPr>
              <w:t>Action</w:t>
            </w:r>
          </w:p>
        </w:tc>
        <w:tc>
          <w:tcPr>
            <w:tcW w:w="27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tcPr>
          <w:p w14:paraId="1F49A3DC" w14:textId="77777777" w:rsidR="00727555" w:rsidRDefault="00000000">
            <w:r>
              <w:rPr>
                <w:b/>
                <w:bCs/>
                <w:color w:val="FFFFFF"/>
                <w:sz w:val="20"/>
                <w:szCs w:val="20"/>
              </w:rPr>
              <w:t>XRPL Feature</w:t>
            </w:r>
          </w:p>
        </w:tc>
        <w:tc>
          <w:tcPr>
            <w:tcW w:w="354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tcPr>
          <w:p w14:paraId="671FFE92" w14:textId="77777777" w:rsidR="00727555" w:rsidRDefault="00000000">
            <w:r>
              <w:rPr>
                <w:b/>
                <w:bCs/>
                <w:color w:val="FFFFFF"/>
                <w:sz w:val="20"/>
                <w:szCs w:val="20"/>
              </w:rPr>
              <w:t>What it does</w:t>
            </w:r>
          </w:p>
        </w:tc>
      </w:tr>
      <w:tr w:rsidR="00727555" w14:paraId="395BF0D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415FF6" w14:textId="77777777" w:rsidR="00727555"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0B321E" w14:textId="77777777" w:rsidR="00727555" w:rsidRDefault="00000000">
            <w:r>
              <w:rPr>
                <w:sz w:val="20"/>
                <w:szCs w:val="20"/>
              </w:rPr>
              <w:t>Treasury issues the bond</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48E62E4" w14:textId="77777777" w:rsidR="00727555" w:rsidRDefault="00000000">
            <w:proofErr w:type="spellStart"/>
            <w:r>
              <w:rPr>
                <w:sz w:val="20"/>
                <w:szCs w:val="20"/>
              </w:rPr>
              <w:t>MPTokenIssuanceCreate</w:t>
            </w:r>
            <w:proofErr w:type="spellEnd"/>
            <w:r>
              <w:rPr>
                <w:sz w:val="20"/>
                <w:szCs w:val="20"/>
              </w:rPr>
              <w:t xml:space="preserve"> (XLS-33)</w:t>
            </w:r>
          </w:p>
        </w:tc>
        <w:tc>
          <w:tcPr>
            <w:tcW w:w="35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74B54C" w14:textId="77777777" w:rsidR="00727555" w:rsidRDefault="00000000">
            <w:r>
              <w:rPr>
                <w:sz w:val="20"/>
                <w:szCs w:val="20"/>
              </w:rPr>
              <w:t>Bond token created with covenant terms and applicable standard in metadata — live on Devnet</w:t>
            </w:r>
          </w:p>
        </w:tc>
      </w:tr>
      <w:tr w:rsidR="00727555" w14:paraId="32DF283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7322AFD" w14:textId="77777777" w:rsidR="00727555" w:rsidRDefault="00000000">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AA7F410" w14:textId="77777777" w:rsidR="00727555" w:rsidRDefault="00000000">
            <w:r>
              <w:rPr>
                <w:sz w:val="20"/>
                <w:szCs w:val="20"/>
              </w:rPr>
              <w:t>Investor buys with RLUSD</w:t>
            </w:r>
          </w:p>
        </w:tc>
        <w:tc>
          <w:tcPr>
            <w:tcW w:w="27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84B06F2" w14:textId="77777777" w:rsidR="00727555" w:rsidRDefault="00000000">
            <w:r>
              <w:rPr>
                <w:sz w:val="20"/>
                <w:szCs w:val="20"/>
              </w:rPr>
              <w:t xml:space="preserve">Payment + </w:t>
            </w:r>
            <w:proofErr w:type="spellStart"/>
            <w:r>
              <w:rPr>
                <w:sz w:val="20"/>
                <w:szCs w:val="20"/>
              </w:rPr>
              <w:t>MPTokenAuthorize</w:t>
            </w:r>
            <w:proofErr w:type="spellEnd"/>
          </w:p>
        </w:tc>
        <w:tc>
          <w:tcPr>
            <w:tcW w:w="354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1563295" w14:textId="77777777" w:rsidR="00727555" w:rsidRDefault="00000000">
            <w:r>
              <w:rPr>
                <w:sz w:val="20"/>
                <w:szCs w:val="20"/>
              </w:rPr>
              <w:t>Credentialed wallet authorised; non-credentialed wallet rejected at protocol level</w:t>
            </w:r>
          </w:p>
        </w:tc>
      </w:tr>
      <w:tr w:rsidR="00727555" w14:paraId="16D60A3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178926" w14:textId="77777777" w:rsidR="00727555" w:rsidRDefault="00000000">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F53A3E" w14:textId="77777777" w:rsidR="00727555" w:rsidRDefault="00000000">
            <w:r>
              <w:rPr>
                <w:sz w:val="20"/>
                <w:szCs w:val="20"/>
              </w:rPr>
              <w:t>Proceeds locked immediately</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C82248" w14:textId="77777777" w:rsidR="00727555" w:rsidRDefault="00000000">
            <w:proofErr w:type="spellStart"/>
            <w:r>
              <w:rPr>
                <w:sz w:val="20"/>
                <w:szCs w:val="20"/>
              </w:rPr>
              <w:t>EscrowCreate</w:t>
            </w:r>
            <w:proofErr w:type="spellEnd"/>
            <w:r>
              <w:rPr>
                <w:sz w:val="20"/>
                <w:szCs w:val="20"/>
              </w:rPr>
              <w:t xml:space="preserve"> (XLS-85)</w:t>
            </w:r>
          </w:p>
        </w:tc>
        <w:tc>
          <w:tcPr>
            <w:tcW w:w="35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D8021E" w14:textId="77777777" w:rsidR="00727555" w:rsidRDefault="00000000">
            <w:r>
              <w:rPr>
                <w:sz w:val="20"/>
                <w:szCs w:val="20"/>
              </w:rPr>
              <w:t>Principal held under milestone conditions; no single-transfer release</w:t>
            </w:r>
          </w:p>
        </w:tc>
      </w:tr>
      <w:tr w:rsidR="00727555" w14:paraId="333A4EA5"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C51FD14" w14:textId="77777777" w:rsidR="00727555" w:rsidRDefault="00000000">
            <w:r>
              <w:rPr>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066A4BB" w14:textId="77777777" w:rsidR="00727555" w:rsidRDefault="00000000">
            <w:r>
              <w:rPr>
                <w:sz w:val="20"/>
                <w:szCs w:val="20"/>
              </w:rPr>
              <w:t>Milestone verified by credentialed reviewer</w:t>
            </w:r>
          </w:p>
        </w:tc>
        <w:tc>
          <w:tcPr>
            <w:tcW w:w="27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CCA8A2D" w14:textId="77777777" w:rsidR="00727555" w:rsidRDefault="00000000">
            <w:proofErr w:type="spellStart"/>
            <w:r>
              <w:rPr>
                <w:sz w:val="20"/>
                <w:szCs w:val="20"/>
              </w:rPr>
              <w:t>CredentialCreate</w:t>
            </w:r>
            <w:proofErr w:type="spellEnd"/>
            <w:r>
              <w:rPr>
                <w:sz w:val="20"/>
                <w:szCs w:val="20"/>
              </w:rPr>
              <w:t xml:space="preserve"> / </w:t>
            </w:r>
            <w:proofErr w:type="spellStart"/>
            <w:r>
              <w:rPr>
                <w:sz w:val="20"/>
                <w:szCs w:val="20"/>
              </w:rPr>
              <w:t>CredentialAccept</w:t>
            </w:r>
            <w:proofErr w:type="spellEnd"/>
            <w:r>
              <w:rPr>
                <w:sz w:val="20"/>
                <w:szCs w:val="20"/>
              </w:rPr>
              <w:t xml:space="preserve"> (XLS-70)</w:t>
            </w:r>
          </w:p>
        </w:tc>
        <w:tc>
          <w:tcPr>
            <w:tcW w:w="354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123BDEE" w14:textId="77777777" w:rsidR="00727555" w:rsidRDefault="00000000">
            <w:r>
              <w:rPr>
                <w:sz w:val="20"/>
                <w:szCs w:val="20"/>
              </w:rPr>
              <w:t>ESMA-registered reviewer (e.g. KPMG) attests all three standards; bond credential updated on-chain</w:t>
            </w:r>
          </w:p>
        </w:tc>
      </w:tr>
      <w:tr w:rsidR="00727555" w14:paraId="34979E9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E7DB18" w14:textId="77777777" w:rsidR="00727555" w:rsidRDefault="00000000">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CD08AC" w14:textId="77777777" w:rsidR="00727555" w:rsidRDefault="00000000">
            <w:r>
              <w:rPr>
                <w:sz w:val="20"/>
                <w:szCs w:val="20"/>
              </w:rPr>
              <w:t>Escrow releases to project wallet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D2B055" w14:textId="77777777" w:rsidR="00727555" w:rsidRDefault="00000000">
            <w:proofErr w:type="spellStart"/>
            <w:r>
              <w:rPr>
                <w:sz w:val="20"/>
                <w:szCs w:val="20"/>
              </w:rPr>
              <w:t>EscrowFinish</w:t>
            </w:r>
            <w:proofErr w:type="spellEnd"/>
            <w:r>
              <w:rPr>
                <w:sz w:val="20"/>
                <w:szCs w:val="20"/>
              </w:rPr>
              <w:t xml:space="preserve"> (condition met)</w:t>
            </w:r>
          </w:p>
        </w:tc>
        <w:tc>
          <w:tcPr>
            <w:tcW w:w="35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C3A4D6" w14:textId="77777777" w:rsidR="00727555" w:rsidRDefault="00000000">
            <w:r>
              <w:rPr>
                <w:sz w:val="20"/>
                <w:szCs w:val="20"/>
              </w:rPr>
              <w:t>Release triggered only when attestation condition is satisfied</w:t>
            </w:r>
          </w:p>
        </w:tc>
      </w:tr>
      <w:tr w:rsidR="00727555" w14:paraId="70F4B13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7AC5343" w14:textId="77777777" w:rsidR="00727555" w:rsidRDefault="00000000">
            <w:r>
              <w:rPr>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902F898" w14:textId="77777777" w:rsidR="00727555" w:rsidRDefault="00000000">
            <w:r>
              <w:rPr>
                <w:sz w:val="20"/>
                <w:szCs w:val="20"/>
              </w:rPr>
              <w:t>Dashboard reads ledger</w:t>
            </w:r>
          </w:p>
        </w:tc>
        <w:tc>
          <w:tcPr>
            <w:tcW w:w="27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207D575" w14:textId="77777777" w:rsidR="00727555" w:rsidRDefault="00000000">
            <w:r>
              <w:rPr>
                <w:sz w:val="20"/>
                <w:szCs w:val="20"/>
              </w:rPr>
              <w:t>On-chain audit trail</w:t>
            </w:r>
          </w:p>
        </w:tc>
        <w:tc>
          <w:tcPr>
            <w:tcW w:w="354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194B51B" w14:textId="77777777" w:rsidR="00727555" w:rsidRDefault="00000000">
            <w:r>
              <w:rPr>
                <w:sz w:val="20"/>
                <w:szCs w:val="20"/>
              </w:rPr>
              <w:t>Live green status, proceeds history, and credential chain visible to authorised parties</w:t>
            </w:r>
          </w:p>
        </w:tc>
      </w:tr>
    </w:tbl>
    <w:p w14:paraId="763F4DBD" w14:textId="77777777" w:rsidR="00727555" w:rsidRDefault="00727555">
      <w:pPr>
        <w:spacing w:before="160"/>
      </w:pPr>
    </w:p>
    <w:p w14:paraId="759645DE" w14:textId="77777777" w:rsidR="00727555" w:rsidRDefault="00000000">
      <w:pPr>
        <w:pStyle w:val="Heading2"/>
      </w:pPr>
      <w:r>
        <w:t>Verification layer</w:t>
      </w:r>
    </w:p>
    <w:p w14:paraId="21033961" w14:textId="77777777" w:rsidR="00727555" w:rsidRDefault="00000000">
      <w:pPr>
        <w:spacing w:before="80" w:after="120"/>
      </w:pPr>
      <w:proofErr w:type="spellStart"/>
      <w:r>
        <w:t>GreenTrace</w:t>
      </w:r>
      <w:proofErr w:type="spellEnd"/>
      <w:r>
        <w:t xml:space="preserve"> distinguishes between what the ledger can prove and what must come from the real world. Every figure in the dashboard carries a source label — on-chain, verifier-attested, or self-reported.</w:t>
      </w:r>
    </w:p>
    <w:p w14:paraId="13BD0F17" w14:textId="77777777" w:rsidR="00727555" w:rsidRDefault="00727555">
      <w:pPr>
        <w:spacing w:before="80"/>
      </w:pPr>
    </w:p>
    <w:p w14:paraId="56F89875" w14:textId="77777777" w:rsidR="00727555" w:rsidRDefault="00000000">
      <w:pPr>
        <w:spacing w:before="80" w:after="120"/>
      </w:pPr>
      <w:r>
        <w:t>On-chain facts require no outside party: proceeds flow, credential and attestation history, escrow release records, and repayment state are all readable directly from the ledger.</w:t>
      </w:r>
    </w:p>
    <w:p w14:paraId="19FD95B3" w14:textId="77777777" w:rsidR="00727555" w:rsidRDefault="00727555">
      <w:pPr>
        <w:spacing w:before="80"/>
      </w:pPr>
    </w:p>
    <w:p w14:paraId="3064BBA9" w14:textId="77777777" w:rsidR="00727555" w:rsidRDefault="00000000">
      <w:pPr>
        <w:spacing w:before="80" w:after="120"/>
      </w:pPr>
      <w:r>
        <w:t>Off-chain facts — planning approvals, construction completion, emissions performance — are handled through a credentialed verifier network. For V1, an ESMA-registered reviewer manually attests that the bond meets the three required standards and updates the credential on-chain via XLS-70. Verifier relationships are to be confirmed for production deployment.</w:t>
      </w:r>
    </w:p>
    <w:p w14:paraId="23800EC0" w14:textId="77777777" w:rsidR="00727555" w:rsidRDefault="00727555">
      <w:pPr>
        <w:spacing w:before="160"/>
      </w:pPr>
    </w:p>
    <w:p w14:paraId="02C292C0" w14:textId="77777777" w:rsidR="00727555" w:rsidRDefault="00000000">
      <w:pPr>
        <w:pStyle w:val="Heading2"/>
      </w:pPr>
      <w:r>
        <w:t>V2 roadmap</w:t>
      </w:r>
    </w:p>
    <w:p w14:paraId="7D848FA9" w14:textId="77777777" w:rsidR="00727555" w:rsidRDefault="00000000">
      <w:pPr>
        <w:pStyle w:val="ListParagraph"/>
        <w:numPr>
          <w:ilvl w:val="0"/>
          <w:numId w:val="2"/>
        </w:numPr>
        <w:spacing w:before="60" w:after="60"/>
      </w:pPr>
      <w:r>
        <w:t xml:space="preserve">AI monitoring </w:t>
      </w:r>
      <w:proofErr w:type="gramStart"/>
      <w:r>
        <w:t>agent:</w:t>
      </w:r>
      <w:proofErr w:type="gramEnd"/>
      <w:r>
        <w:t xml:space="preserve"> continuously checks reported data against the bond framework, assembles ESRS and ISSB reporting, and flags inconsistencies for human review. The agent would never move funds or finalise a status change independently.</w:t>
      </w:r>
    </w:p>
    <w:p w14:paraId="61884446" w14:textId="77777777" w:rsidR="00727555" w:rsidRDefault="00000000">
      <w:pPr>
        <w:pStyle w:val="ListParagraph"/>
        <w:numPr>
          <w:ilvl w:val="0"/>
          <w:numId w:val="2"/>
        </w:numPr>
        <w:spacing w:before="60" w:after="60"/>
      </w:pPr>
      <w:r>
        <w:t>Vault and lending integration: full XLS-65 / XLS-66 deployment for pooled capital and structured loan disbursement</w:t>
      </w:r>
    </w:p>
    <w:p w14:paraId="43B02857" w14:textId="77777777" w:rsidR="00727555" w:rsidRDefault="00000000">
      <w:pPr>
        <w:pStyle w:val="ListParagraph"/>
        <w:numPr>
          <w:ilvl w:val="0"/>
          <w:numId w:val="2"/>
        </w:numPr>
        <w:spacing w:before="60" w:after="60"/>
      </w:pPr>
      <w:proofErr w:type="spellStart"/>
      <w:r>
        <w:lastRenderedPageBreak/>
        <w:t>Mainnet</w:t>
      </w:r>
      <w:proofErr w:type="spellEnd"/>
      <w:r>
        <w:t xml:space="preserve"> deployment following </w:t>
      </w:r>
      <w:proofErr w:type="spellStart"/>
      <w:r>
        <w:t>testnet</w:t>
      </w:r>
      <w:proofErr w:type="spellEnd"/>
      <w:r>
        <w:t xml:space="preserve"> validation</w:t>
      </w:r>
    </w:p>
    <w:p w14:paraId="5808758F" w14:textId="77777777" w:rsidR="00727555" w:rsidRDefault="00727555">
      <w:pPr>
        <w:spacing w:before="240"/>
      </w:pPr>
    </w:p>
    <w:p w14:paraId="5792D4A0" w14:textId="77777777" w:rsidR="00727555" w:rsidRDefault="00000000">
      <w:pPr>
        <w:pStyle w:val="Heading1"/>
        <w:pBdr>
          <w:bottom w:val="single" w:sz="6" w:space="6" w:color="1B5E20"/>
        </w:pBdr>
      </w:pPr>
      <w:r>
        <w:t xml:space="preserve">4. How It Fits </w:t>
      </w:r>
      <w:proofErr w:type="gramStart"/>
      <w:r>
        <w:t>With</w:t>
      </w:r>
      <w:proofErr w:type="gramEnd"/>
      <w:r>
        <w:t xml:space="preserve"> Ripple</w:t>
      </w:r>
    </w:p>
    <w:p w14:paraId="36F3EA9F" w14:textId="77777777" w:rsidR="00727555" w:rsidRDefault="00000000">
      <w:pPr>
        <w:spacing w:before="80" w:after="120"/>
      </w:pPr>
      <w:r>
        <w:t>Ripple's treasury management system covers cash netting, liquidity management, forecasting, and payments. It does not include a tracking layer for the ongoing green status of bonds held or issued, and it does not attach regulatory-grade credentials to assets.</w:t>
      </w:r>
    </w:p>
    <w:p w14:paraId="467CB033" w14:textId="77777777" w:rsidR="00727555" w:rsidRDefault="00727555">
      <w:pPr>
        <w:spacing w:before="80"/>
      </w:pPr>
    </w:p>
    <w:p w14:paraId="38807795" w14:textId="77777777" w:rsidR="00727555" w:rsidRDefault="00000000">
      <w:pPr>
        <w:spacing w:before="80" w:after="120"/>
      </w:pPr>
      <w:proofErr w:type="spellStart"/>
      <w:r>
        <w:t>GreenTrace</w:t>
      </w:r>
      <w:proofErr w:type="spellEnd"/>
      <w:r>
        <w:t xml:space="preserve"> is the missing verification layer in that stack. It does not compete with Ripple's existing products. It extends them into a regulated market that is actively procuring this infrastructure.</w:t>
      </w:r>
    </w:p>
    <w:p w14:paraId="33786DEA" w14:textId="77777777" w:rsidR="00727555" w:rsidRDefault="00727555">
      <w:pPr>
        <w:spacing w:before="80"/>
      </w:pPr>
    </w:p>
    <w:p w14:paraId="2E1D7B3B" w14:textId="77777777" w:rsidR="00727555" w:rsidRDefault="00000000">
      <w:pPr>
        <w:spacing w:before="80" w:after="120"/>
      </w:pPr>
      <w:r>
        <w:t xml:space="preserve">RLUSD is the intended unit of account </w:t>
      </w:r>
      <w:proofErr w:type="gramStart"/>
      <w:r>
        <w:t>throughout:</w:t>
      </w:r>
      <w:proofErr w:type="gramEnd"/>
      <w:r>
        <w:t xml:space="preserve"> vault deposits, loan disbursements, escrow settlements, and coupon payments are all designed to run through RLUSD. If adopted at scale, this generates meaningful RLUSD transaction volume on every bond issuance and every coupon cycle.</w:t>
      </w:r>
    </w:p>
    <w:p w14:paraId="3C0D5C60" w14:textId="77777777" w:rsidR="00727555" w:rsidRDefault="0072755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6720"/>
      </w:tblGrid>
      <w:tr w:rsidR="00727555" w14:paraId="6BD8826C" w14:textId="77777777">
        <w:tblPrEx>
          <w:tblCellMar>
            <w:top w:w="0" w:type="dxa"/>
            <w:bottom w:w="0" w:type="dxa"/>
          </w:tblCellMar>
        </w:tblPrEx>
        <w:trPr>
          <w:tblHeader/>
        </w:trPr>
        <w:tc>
          <w:tcPr>
            <w:tcW w:w="264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tcPr>
          <w:p w14:paraId="679DB5D3" w14:textId="77777777" w:rsidR="00727555" w:rsidRDefault="00727555"/>
        </w:tc>
        <w:tc>
          <w:tcPr>
            <w:tcW w:w="672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tcPr>
          <w:p w14:paraId="28554F86" w14:textId="77777777" w:rsidR="00727555" w:rsidRDefault="00727555"/>
        </w:tc>
      </w:tr>
      <w:tr w:rsidR="00727555" w14:paraId="338426FF"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1052A8" w14:textId="77777777" w:rsidR="00727555" w:rsidRDefault="00000000">
            <w:r>
              <w:rPr>
                <w:sz w:val="20"/>
                <w:szCs w:val="20"/>
              </w:rPr>
              <w:t>Ripple TMS (existing)</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3FE6C0" w14:textId="77777777" w:rsidR="00727555" w:rsidRDefault="00000000">
            <w:r>
              <w:rPr>
                <w:sz w:val="20"/>
                <w:szCs w:val="20"/>
              </w:rPr>
              <w:t>Cash, liquidity, payments — no green credential or verification layer</w:t>
            </w:r>
          </w:p>
        </w:tc>
      </w:tr>
      <w:tr w:rsidR="00727555" w14:paraId="209985C8"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FD8D6E8" w14:textId="77777777" w:rsidR="00727555" w:rsidRDefault="00000000">
            <w:proofErr w:type="spellStart"/>
            <w:r>
              <w:rPr>
                <w:sz w:val="20"/>
                <w:szCs w:val="20"/>
              </w:rPr>
              <w:t>GreenTrace</w:t>
            </w:r>
            <w:proofErr w:type="spellEnd"/>
            <w:r>
              <w:rPr>
                <w:sz w:val="20"/>
                <w:szCs w:val="20"/>
              </w:rPr>
              <w:t xml:space="preserve"> (new)</w:t>
            </w:r>
          </w:p>
        </w:tc>
        <w:tc>
          <w:tcPr>
            <w:tcW w:w="67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CB96D0D" w14:textId="77777777" w:rsidR="00727555" w:rsidRDefault="00000000">
            <w:r>
              <w:rPr>
                <w:sz w:val="20"/>
                <w:szCs w:val="20"/>
              </w:rPr>
              <w:t>Green bond issuance, verification, and ongoing compliance — built on XRPL, designed to integrate with TMS</w:t>
            </w:r>
          </w:p>
        </w:tc>
      </w:tr>
      <w:tr w:rsidR="00727555" w14:paraId="3EA9D87E"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AE1F73" w14:textId="77777777" w:rsidR="00727555" w:rsidRDefault="00000000">
            <w:r>
              <w:rPr>
                <w:sz w:val="20"/>
                <w:szCs w:val="20"/>
              </w:rPr>
              <w:t>What Ripple gains</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F957CA" w14:textId="77777777" w:rsidR="00727555" w:rsidRDefault="00000000">
            <w:r>
              <w:rPr>
                <w:sz w:val="20"/>
                <w:szCs w:val="20"/>
              </w:rPr>
              <w:t>New institutional revenue stream; RLUSD volume on every bond and coupon; enterprise customer retention in a growing regulated market</w:t>
            </w:r>
          </w:p>
        </w:tc>
      </w:tr>
    </w:tbl>
    <w:p w14:paraId="14E33A36" w14:textId="77777777" w:rsidR="00727555" w:rsidRDefault="00727555">
      <w:pPr>
        <w:spacing w:before="240"/>
      </w:pPr>
    </w:p>
    <w:p w14:paraId="6C3CD453" w14:textId="77777777" w:rsidR="00727555" w:rsidRDefault="00000000">
      <w:pPr>
        <w:pStyle w:val="Heading1"/>
        <w:pBdr>
          <w:bottom w:val="single" w:sz="6" w:space="6" w:color="1B5E20"/>
        </w:pBdr>
      </w:pPr>
      <w:r>
        <w:t>5. Commercial Model</w:t>
      </w:r>
    </w:p>
    <w:p w14:paraId="74AA6285" w14:textId="77777777" w:rsidR="00727555" w:rsidRDefault="00000000">
      <w:pPr>
        <w:pStyle w:val="Heading2"/>
      </w:pPr>
      <w:r>
        <w:t>Customers</w:t>
      </w:r>
    </w:p>
    <w:p w14:paraId="47927796" w14:textId="77777777" w:rsidR="00727555" w:rsidRDefault="00000000">
      <w:pPr>
        <w:spacing w:before="80" w:after="120"/>
      </w:pPr>
      <w:r>
        <w:t>Primary: corporate treasury departments at firms issuing or mandated to hold green bonds — FTSE 100 and Fortune 500 issuers.</w:t>
      </w:r>
    </w:p>
    <w:p w14:paraId="3BFCC377" w14:textId="083157A0" w:rsidR="00727555" w:rsidRDefault="00000000">
      <w:pPr>
        <w:spacing w:before="80" w:after="120"/>
      </w:pPr>
      <w:r>
        <w:rPr>
          <w:b/>
          <w:bCs/>
          <w:color w:val="B45309"/>
        </w:rPr>
        <w:t>[TBC: Pricing and revenue to be solidified]</w:t>
      </w:r>
    </w:p>
    <w:p w14:paraId="1F8C35B6" w14:textId="362FA5ED" w:rsidR="00727555" w:rsidRDefault="00727555" w:rsidP="00ED506C"/>
    <w:sectPr w:rsidR="0072755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4297F"/>
    <w:multiLevelType w:val="hybridMultilevel"/>
    <w:tmpl w:val="748A4FCA"/>
    <w:lvl w:ilvl="0" w:tplc="72EE7EE2">
      <w:start w:val="1"/>
      <w:numFmt w:val="bullet"/>
      <w:lvlText w:val="●"/>
      <w:lvlJc w:val="left"/>
      <w:pPr>
        <w:ind w:left="720" w:hanging="360"/>
      </w:pPr>
    </w:lvl>
    <w:lvl w:ilvl="1" w:tplc="0974F4F6">
      <w:start w:val="1"/>
      <w:numFmt w:val="bullet"/>
      <w:lvlText w:val="○"/>
      <w:lvlJc w:val="left"/>
      <w:pPr>
        <w:ind w:left="1440" w:hanging="360"/>
      </w:pPr>
    </w:lvl>
    <w:lvl w:ilvl="2" w:tplc="34DC6BCE">
      <w:start w:val="1"/>
      <w:numFmt w:val="bullet"/>
      <w:lvlText w:val="■"/>
      <w:lvlJc w:val="left"/>
      <w:pPr>
        <w:ind w:left="2160" w:hanging="360"/>
      </w:pPr>
    </w:lvl>
    <w:lvl w:ilvl="3" w:tplc="19D43FDA">
      <w:start w:val="1"/>
      <w:numFmt w:val="bullet"/>
      <w:lvlText w:val="●"/>
      <w:lvlJc w:val="left"/>
      <w:pPr>
        <w:ind w:left="2880" w:hanging="360"/>
      </w:pPr>
    </w:lvl>
    <w:lvl w:ilvl="4" w:tplc="17AA3D30">
      <w:start w:val="1"/>
      <w:numFmt w:val="bullet"/>
      <w:lvlText w:val="○"/>
      <w:lvlJc w:val="left"/>
      <w:pPr>
        <w:ind w:left="3600" w:hanging="360"/>
      </w:pPr>
    </w:lvl>
    <w:lvl w:ilvl="5" w:tplc="CAD00BC8">
      <w:start w:val="1"/>
      <w:numFmt w:val="bullet"/>
      <w:lvlText w:val="■"/>
      <w:lvlJc w:val="left"/>
      <w:pPr>
        <w:ind w:left="4320" w:hanging="360"/>
      </w:pPr>
    </w:lvl>
    <w:lvl w:ilvl="6" w:tplc="7410EF5C">
      <w:start w:val="1"/>
      <w:numFmt w:val="bullet"/>
      <w:lvlText w:val="●"/>
      <w:lvlJc w:val="left"/>
      <w:pPr>
        <w:ind w:left="5040" w:hanging="360"/>
      </w:pPr>
    </w:lvl>
    <w:lvl w:ilvl="7" w:tplc="2DB602A2">
      <w:start w:val="1"/>
      <w:numFmt w:val="bullet"/>
      <w:lvlText w:val="●"/>
      <w:lvlJc w:val="left"/>
      <w:pPr>
        <w:ind w:left="5760" w:hanging="360"/>
      </w:pPr>
    </w:lvl>
    <w:lvl w:ilvl="8" w:tplc="55983B5C">
      <w:start w:val="1"/>
      <w:numFmt w:val="bullet"/>
      <w:lvlText w:val="●"/>
      <w:lvlJc w:val="left"/>
      <w:pPr>
        <w:ind w:left="6480" w:hanging="360"/>
      </w:pPr>
    </w:lvl>
  </w:abstractNum>
  <w:abstractNum w:abstractNumId="1" w15:restartNumberingAfterBreak="0">
    <w:nsid w:val="696C2661"/>
    <w:multiLevelType w:val="hybridMultilevel"/>
    <w:tmpl w:val="0FDCB076"/>
    <w:lvl w:ilvl="0" w:tplc="18361B76">
      <w:start w:val="1"/>
      <w:numFmt w:val="bullet"/>
      <w:lvlText w:val="•"/>
      <w:lvlJc w:val="left"/>
      <w:pPr>
        <w:ind w:left="720" w:hanging="360"/>
      </w:pPr>
    </w:lvl>
    <w:lvl w:ilvl="1" w:tplc="F5B6D86C">
      <w:numFmt w:val="decimal"/>
      <w:lvlText w:val=""/>
      <w:lvlJc w:val="left"/>
    </w:lvl>
    <w:lvl w:ilvl="2" w:tplc="4B76799E">
      <w:numFmt w:val="decimal"/>
      <w:lvlText w:val=""/>
      <w:lvlJc w:val="left"/>
    </w:lvl>
    <w:lvl w:ilvl="3" w:tplc="165E67BE">
      <w:numFmt w:val="decimal"/>
      <w:lvlText w:val=""/>
      <w:lvlJc w:val="left"/>
    </w:lvl>
    <w:lvl w:ilvl="4" w:tplc="4D540530">
      <w:numFmt w:val="decimal"/>
      <w:lvlText w:val=""/>
      <w:lvlJc w:val="left"/>
    </w:lvl>
    <w:lvl w:ilvl="5" w:tplc="6936B376">
      <w:numFmt w:val="decimal"/>
      <w:lvlText w:val=""/>
      <w:lvlJc w:val="left"/>
    </w:lvl>
    <w:lvl w:ilvl="6" w:tplc="6538A3D0">
      <w:numFmt w:val="decimal"/>
      <w:lvlText w:val=""/>
      <w:lvlJc w:val="left"/>
    </w:lvl>
    <w:lvl w:ilvl="7" w:tplc="DFD23048">
      <w:numFmt w:val="decimal"/>
      <w:lvlText w:val=""/>
      <w:lvlJc w:val="left"/>
    </w:lvl>
    <w:lvl w:ilvl="8" w:tplc="B4C225E8">
      <w:numFmt w:val="decimal"/>
      <w:lvlText w:val=""/>
      <w:lvlJc w:val="left"/>
    </w:lvl>
  </w:abstractNum>
  <w:num w:numId="1" w16cid:durableId="328409353">
    <w:abstractNumId w:val="0"/>
    <w:lvlOverride w:ilvl="0">
      <w:startOverride w:val="1"/>
    </w:lvlOverride>
  </w:num>
  <w:num w:numId="2" w16cid:durableId="9027142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555"/>
    <w:rsid w:val="00727555"/>
    <w:rsid w:val="0075771A"/>
    <w:rsid w:val="00ED50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2A4AF"/>
  <w15:docId w15:val="{A2896A99-7B9B-4023-B48D-0DE1D658D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160"/>
      <w:outlineLvl w:val="0"/>
    </w:pPr>
    <w:rPr>
      <w:b/>
      <w:bCs/>
      <w:color w:val="1B5E20"/>
      <w:sz w:val="30"/>
      <w:szCs w:val="30"/>
    </w:rPr>
  </w:style>
  <w:style w:type="paragraph" w:styleId="Heading2">
    <w:name w:val="heading 2"/>
    <w:uiPriority w:val="9"/>
    <w:unhideWhenUsed/>
    <w:qFormat/>
    <w:pPr>
      <w:spacing w:before="28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1342</Words>
  <Characters>7650</Characters>
  <Application>Microsoft Office Word</Application>
  <DocSecurity>0</DocSecurity>
  <Lines>63</Lines>
  <Paragraphs>17</Paragraphs>
  <ScaleCrop>false</ScaleCrop>
  <Company/>
  <LinksUpToDate>false</LinksUpToDate>
  <CharactersWithSpaces>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 Patient</cp:lastModifiedBy>
  <cp:revision>2</cp:revision>
  <dcterms:created xsi:type="dcterms:W3CDTF">2026-06-13T23:07:00Z</dcterms:created>
  <dcterms:modified xsi:type="dcterms:W3CDTF">2026-06-13T23:16:00Z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b5baa3-c8b0-446a-9274-d354fd3d84f0_Enabled">
    <vt:lpwstr>true</vt:lpwstr>
  </property>
  <property fmtid="{D5CDD505-2E9C-101B-9397-08002B2CF9AE}" pid="3" name="MSIP_Label_f5b5baa3-c8b0-446a-9274-d354fd3d84f0_SetDate">
    <vt:lpwstr>2026-06-13T23:12:11Z</vt:lpwstr>
  </property>
  <property fmtid="{D5CDD505-2E9C-101B-9397-08002B2CF9AE}" pid="4" name="MSIP_Label_f5b5baa3-c8b0-446a-9274-d354fd3d84f0_Method">
    <vt:lpwstr>Privileged</vt:lpwstr>
  </property>
  <property fmtid="{D5CDD505-2E9C-101B-9397-08002B2CF9AE}" pid="5" name="MSIP_Label_f5b5baa3-c8b0-446a-9274-d354fd3d84f0_Name">
    <vt:lpwstr>Public</vt:lpwstr>
  </property>
  <property fmtid="{D5CDD505-2E9C-101B-9397-08002B2CF9AE}" pid="6" name="MSIP_Label_f5b5baa3-c8b0-446a-9274-d354fd3d84f0_SiteId">
    <vt:lpwstr>67e3f302-9bb0-40e3-a665-78fa0c287b7a</vt:lpwstr>
  </property>
  <property fmtid="{D5CDD505-2E9C-101B-9397-08002B2CF9AE}" pid="7" name="MSIP_Label_f5b5baa3-c8b0-446a-9274-d354fd3d84f0_ActionId">
    <vt:lpwstr>e9c874ae-c548-41e3-a038-22eb31cb2f5b</vt:lpwstr>
  </property>
  <property fmtid="{D5CDD505-2E9C-101B-9397-08002B2CF9AE}" pid="8" name="MSIP_Label_f5b5baa3-c8b0-446a-9274-d354fd3d84f0_ContentBits">
    <vt:lpwstr>0</vt:lpwstr>
  </property>
  <property fmtid="{D5CDD505-2E9C-101B-9397-08002B2CF9AE}" pid="9" name="MSIP_Label_f5b5baa3-c8b0-446a-9274-d354fd3d84f0_Tag">
    <vt:lpwstr>10, 0, 1, 1</vt:lpwstr>
  </property>
</Properties>
</file>