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Jacqueline Wong, Kevin Nguyen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6301.502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 Analysis and Comprehension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Assignment #1 - Deliverable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FreeMind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of the distribution of all the terms in the software lexicon. You can use Excel or anything like it. (Excel only picked a few random terms to show since it couldn’t fit all.)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6311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10 most frequent terms in the corpus (report their tf)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9062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7068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6024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5481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4814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mind 4471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controller 3859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null 3083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2588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2516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10 terms with the highest document frequency (report their df).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488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486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486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485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485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485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 484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license 484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later 484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 483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3 documents with the highest number of unique terms. (Highest to Lowest)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MindMapController.java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FreeMindMapController.java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FreeMind.java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3 documents with the lowest number of unique terms.(Lowest to Highest)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IconInformation.java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SignedScriptTests.java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LoggingOutputStream.java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OpenCMS 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of the distribution of all the terms in the software lexicon. You can use Excel or anything like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6477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10 most frequent terms in the corpus (report their tf)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cms 129069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61694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 43468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 33701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31790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opencms 31133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28922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28816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 21209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19119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the 10 terms with the highest document frequency (report their df).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 3128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3126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3126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3126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www 3125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3124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license 3124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imply 3124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distribute 3124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3124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the 3 documents with the highest number of unique terms. (Highest to Lowest)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CmsDriverManager.java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CmsDefaultXmlContentHandler.java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CmsSecurityManager.java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the 3 documents with the lowest number of unique terms.(Lowest to Highest)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CmsRelationValidatorInfoEntry.java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SynchronizedRpcRequest.java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I_CmsUserAgentInfo.java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