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예상 이슈 및 방향성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2022.10.05 / 14:00~21:00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김도영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팀원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이재훈, 신상언, 심정윤, 김재열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예상 이슈 및 대응 방안 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 수집 및 모델 성능 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구성도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요구사항 정의서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팀원별 예상 이슈에 대한 대응 방안 미리 대비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포털 사이트 보안 문제로 동적 웹크롤링으로 데이터 수집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팀원별 기본 모델 구성하여 성능 체크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어제 작성한 구성도를 수정하며 전체적인 틀 수정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미래에 대한 구체적인 방향성 </w:t>
            </w:r>
          </w:p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z5g1HuTBqRHIKWgVMqmHvJaEQ==">AMUW2mUzK3LodPLZMQRbbvHQNIsJ4Woon9PWFiQFZlAPOkJYEF6gcouJcYMJPAZSmPEHlt+Fl31uXWj8OKKi8vaRxDI9+kKSBPyIz4flfSytz0ZOhqCyAiI=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