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lgun Gothic" w:cs="Malgun Gothic" w:eastAsia="Malgun Gothic" w:hAnsi="Malgun Gothic"/>
          <w:color w:val="6b6f85"/>
          <w:sz w:val="22"/>
          <w:szCs w:val="22"/>
        </w:rPr>
        <w:t xml:space="preserve">문해력 15분 웹앱</w:t>
      </w:r>
    </w:p>
    <w:p>
      <w:pPr>
        <w:pStyle w:val="Title"/>
        <w:spacing w:after="200"/>
        <w:jc w:val="center"/>
      </w:pPr>
      <w:r>
        <w:rPr>
          <w:rFonts w:ascii="Malgun Gothic" w:cs="Malgun Gothic" w:eastAsia="Malgun Gothic" w:hAnsi="Malgun Gothic"/>
          <w:b/>
          <w:bCs/>
          <w:sz w:val="44"/>
          <w:szCs w:val="44"/>
        </w:rPr>
        <w:t xml:space="preserve">동시 접속 성능측정 보고서</w:t>
      </w:r>
    </w:p>
    <w:p>
      <w:pPr>
        <w:spacing w:after="60"/>
      </w:pPr>
      <w:r>
        <w:rPr>
          <w:rFonts w:ascii="Malgun Gothic" w:cs="Malgun Gothic" w:eastAsia="Malgun Gothic" w:hAnsi="Malgun Gothic"/>
          <w:b/>
          <w:bCs/>
          <w:color w:val="6b6f85"/>
          <w:sz w:val="20"/>
          <w:szCs w:val="20"/>
        </w:rPr>
        <w:t xml:space="preserve">측정일  </w:t>
      </w:r>
      <w:r>
        <w:rPr>
          <w:rFonts w:ascii="Malgun Gothic" w:cs="Malgun Gothic" w:eastAsia="Malgun Gothic" w:hAnsi="Malgun Gothic"/>
          <w:sz w:val="20"/>
          <w:szCs w:val="20"/>
        </w:rPr>
        <w:t xml:space="preserve">2026년 8월 28일</w:t>
      </w:r>
    </w:p>
    <w:p>
      <w:pPr>
        <w:spacing w:after="60"/>
      </w:pPr>
      <w:r>
        <w:rPr>
          <w:rFonts w:ascii="Malgun Gothic" w:cs="Malgun Gothic" w:eastAsia="Malgun Gothic" w:hAnsi="Malgun Gothic"/>
          <w:b/>
          <w:bCs/>
          <w:color w:val="6b6f85"/>
          <w:sz w:val="20"/>
          <w:szCs w:val="20"/>
        </w:rPr>
        <w:t xml:space="preserve">측정 목적  </w:t>
      </w:r>
      <w:r>
        <w:rPr>
          <w:rFonts w:ascii="Malgun Gothic" w:cs="Malgun Gothic" w:eastAsia="Malgun Gothic" w:hAnsi="Malgun Gothic"/>
          <w:sz w:val="20"/>
          <w:szCs w:val="20"/>
        </w:rPr>
        <w:t xml:space="preserve">정기고사(중간고사) 당일 학생 약 500명 동시 접속을 대비한 사전 점검</w:t>
      </w:r>
    </w:p>
    <w:p>
      <w:pPr>
        <w:spacing w:after="60"/>
      </w:pPr>
      <w:r>
        <w:rPr>
          <w:rFonts w:ascii="Malgun Gothic" w:cs="Malgun Gothic" w:eastAsia="Malgun Gothic" w:hAnsi="Malgun Gothic"/>
          <w:b/>
          <w:bCs/>
          <w:color w:val="6b6f85"/>
          <w:sz w:val="20"/>
          <w:szCs w:val="20"/>
        </w:rPr>
        <w:t xml:space="preserve">측정 대상  </w:t>
      </w:r>
      <w:r>
        <w:rPr>
          <w:rFonts w:ascii="Malgun Gothic" w:cs="Malgun Gothic" w:eastAsia="Malgun Gothic" w:hAnsi="Malgun Gothic"/>
          <w:sz w:val="20"/>
          <w:szCs w:val="20"/>
        </w:rPr>
        <w:t xml:space="preserve">구글 Apps Script 백엔드 (로그인·명렬 조회, 점수 기록 저장 API)</w:t>
      </w:r>
    </w:p>
    <w:p>
      <w:pPr>
        <w:pStyle w:val="Heading1"/>
        <w:spacing w:after="160" w:before="320"/>
      </w:pPr>
      <w:r>
        <w:rPr>
          <w:rFonts w:ascii="Malgun Gothic" w:cs="Malgun Gothic" w:eastAsia="Malgun Gothic" w:hAnsi="Malgun Gothic"/>
          <w:b/>
          <w:bCs/>
          <w:sz w:val="30"/>
          <w:szCs w:val="30"/>
        </w:rPr>
        <w:t xml:space="preserve">1. 개요</w:t>
      </w:r>
    </w:p>
    <w:p>
      <w:pPr>
        <w:spacing w:after="160" w:line="300"/>
      </w:pPr>
      <w:r>
        <w:rPr>
          <w:rFonts w:ascii="Malgun Gothic" w:cs="Malgun Gothic" w:eastAsia="Malgun Gothic" w:hAnsi="Malgun Gothic"/>
          <w:sz w:val="21"/>
          <w:szCs w:val="21"/>
        </w:rPr>
        <w:t xml:space="preserve">문해력 15분 웹앱은 학생들의 로그인, 학습 기록·점수 저장을 구글 스프레드시트에 연결된 Apps Script 웹앱을 통해 처리합니다. 곧 예정된 정기고사(중간고사)에서는 학생 약 500명이 비슷한 시간대에 동시 접속·응시할 것으로 예상되어, 실제 서비스에 지장이 없는지 사전에 점검했습니다.</w:t>
      </w:r>
    </w:p>
    <w:p>
      <w:pPr>
        <w:spacing w:after="160" w:line="300"/>
      </w:pPr>
      <w:r>
        <w:rPr>
          <w:rFonts w:ascii="Malgun Gothic" w:cs="Malgun Gothic" w:eastAsia="Malgun Gothic" w:hAnsi="Malgun Gothic"/>
          <w:sz w:val="21"/>
          <w:szCs w:val="21"/>
        </w:rPr>
        <w:t xml:space="preserve">정적 파일(HTML·CSS·JS)을 서비스하는 GitHub Pages는 대규모 동시 접속에 최적화된 CDN(Fastly) 위에서 동작하므로 별도 점검이 필요하지 않습니다. 이번 점검은 접속 인원이 늘어날수록 성능에 영향을 받을 수 있는 유일한 지점인 Apps Script 백엔드에 집중했습니다.</w:t>
      </w:r>
    </w:p>
    <w:p>
      <w:pPr>
        <w:pStyle w:val="Heading1"/>
        <w:spacing w:after="160" w:before="320"/>
      </w:pPr>
      <w:r>
        <w:rPr>
          <w:rFonts w:ascii="Malgun Gothic" w:cs="Malgun Gothic" w:eastAsia="Malgun Gothic" w:hAnsi="Malgun Gothic"/>
          <w:b/>
          <w:bCs/>
          <w:sz w:val="30"/>
          <w:szCs w:val="30"/>
        </w:rPr>
        <w:t xml:space="preserve">2. 측정 방법</w:t>
      </w:r>
    </w:p>
    <w:p>
      <w:pPr>
        <w:pStyle w:val="Heading2"/>
        <w:spacing w:after="120" w:before="260"/>
      </w:pPr>
      <w:r>
        <w:rPr>
          <w:rFonts w:ascii="Malgun Gothic" w:cs="Malgun Gothic" w:eastAsia="Malgun Gothic" w:hAnsi="Malgun Gothic"/>
          <w:b/>
          <w:bCs/>
          <w:color w:val="3a48d6"/>
          <w:sz w:val="25"/>
          <w:szCs w:val="25"/>
        </w:rPr>
        <w:t xml:space="preserve">2.1 1차 시도 — 셸 스크립트(curl) 방식 (참고용, 채택하지 않음)</w:t>
      </w:r>
    </w:p>
    <w:p>
      <w:pPr>
        <w:spacing w:after="160" w:line="300"/>
      </w:pPr>
      <w:r>
        <w:rPr>
          <w:rFonts w:ascii="Malgun Gothic" w:cs="Malgun Gothic" w:eastAsia="Malgun Gothic" w:hAnsi="Malgun Gothic"/>
          <w:sz w:val="21"/>
          <w:szCs w:val="21"/>
        </w:rPr>
        <w:t xml:space="preserve">처음에는 터미널에서 curl 요청 여러 개를 백그라운드(&amp;)로 동시에 실행해 동시 접속을 흉내 냈습니다. 그러나 요청 개수를 100개로 늘리자 전체 소요 시간이 비정상적으로 늘어났는데(약 34.6초), 개별 요청의 응답 시간 자체는 크게 느려지지 않아, 이는 서버가 아니라 측정에 사용한 컴퓨터가 다수의 프로세스를 동시에 띄우는 데 시간이 걸린 것으로 확인되었습니다. 즉 이 방식은 서버 성능이 아니라 측정 도구 자체의 한계를 재는 셈이라 신뢰할 수 없어 폐기했습니다.</w:t>
      </w:r>
    </w:p>
    <w:p>
      <w:pPr>
        <w:pStyle w:val="Heading2"/>
        <w:spacing w:after="120" w:before="260"/>
      </w:pPr>
      <w:r>
        <w:rPr>
          <w:rFonts w:ascii="Malgun Gothic" w:cs="Malgun Gothic" w:eastAsia="Malgun Gothic" w:hAnsi="Malgun Gothic"/>
          <w:b/>
          <w:bCs/>
          <w:color w:val="3a48d6"/>
          <w:sz w:val="25"/>
          <w:szCs w:val="25"/>
        </w:rPr>
        <w:t xml:space="preserve">2.2 최종 방법 — Python 스레드 기반 동시 요청</w:t>
      </w:r>
    </w:p>
    <w:p>
      <w:pPr>
        <w:spacing w:after="160" w:line="300"/>
      </w:pPr>
      <w:r>
        <w:rPr>
          <w:rFonts w:ascii="Malgun Gothic" w:cs="Malgun Gothic" w:eastAsia="Malgun Gothic" w:hAnsi="Malgun Gothic"/>
          <w:sz w:val="21"/>
          <w:szCs w:val="21"/>
        </w:rPr>
        <w:t xml:space="preserve">정확한 측정을 위해 Python의 ThreadPoolExecutor(스레드 풀)를 사용했습니다. 이 방식은 지정한 개수(N)만큼의 스레드를 동시에 띄워 각 스레드가 독립적으로 서버에 요청을 보내고, 응답이 오는 즉시 소요 시간을 기록합니다. 프로세스를 매번 새로 만드는 curl 방식과 달리 스레드는 생성 비용이 거의 없어, 실제 서버가 "진짜 동시에" 얼마나 많은 요청을 감당하는지를 훨씬 정확하게 보여줍니다.</w:t>
      </w:r>
    </w:p>
    <w:p>
      <w:pPr>
        <w:spacing w:after="160" w:line="300"/>
      </w:pPr>
      <w:r>
        <w:rPr>
          <w:rFonts w:ascii="Malgun Gothic" w:cs="Malgun Gothic" w:eastAsia="Malgun Gothic" w:hAnsi="Malgun Gothic"/>
          <w:sz w:val="21"/>
          <w:szCs w:val="21"/>
        </w:rPr>
        <w:t xml:space="preserve">검증을 위해 같은 조건(동시 100개)을 두 방식으로 각각 재보니, curl 방식은 34.6초, 스레드 방식은 5.0초가 나와 스레드 방식이 실제 서버 성능을 더 정확히 반영함을 확인했습니다.</w:t>
      </w:r>
    </w:p>
    <w:p>
      <w:pPr>
        <w:pStyle w:val="Heading2"/>
        <w:spacing w:after="120" w:before="260"/>
      </w:pPr>
      <w:r>
        <w:rPr>
          <w:rFonts w:ascii="Malgun Gothic" w:cs="Malgun Gothic" w:eastAsia="Malgun Gothic" w:hAnsi="Malgun Gothic"/>
          <w:b/>
          <w:bCs/>
          <w:color w:val="3a48d6"/>
          <w:sz w:val="25"/>
          <w:szCs w:val="25"/>
        </w:rPr>
        <w:t xml:space="preserve">2.3 측정한 두 가지 경로</w:t>
      </w:r>
    </w:p>
    <w:p>
      <w:pPr>
        <w:pStyle w:val="ListParagraph"/>
        <w:numPr>
          <w:ilvl w:val="0"/>
          <w:numId w:val="1"/>
        </w:numPr>
        <w:spacing w:after="80" w:line="290"/>
      </w:pPr>
      <w:r>
        <w:rPr>
          <w:rFonts w:ascii="Malgun Gothic" w:cs="Malgun Gothic" w:eastAsia="Malgun Gothic" w:hAnsi="Malgun Gothic"/>
          <w:sz w:val="21"/>
          <w:szCs w:val="21"/>
        </w:rPr>
        <w:t xml:space="preserve">읽기 경로 — 로그인 시 학년·반·번호로 명렬에서 이름을 조회하는 기능(rosterLookup). 시트를 읽기만 하고 데이터를 바꾸지 않아 안전하게 반복 측정 가능.</w:t>
      </w:r>
    </w:p>
    <w:p>
      <w:pPr>
        <w:pStyle w:val="ListParagraph"/>
        <w:numPr>
          <w:ilvl w:val="0"/>
          <w:numId w:val="1"/>
        </w:numPr>
        <w:spacing w:after="80" w:line="290"/>
      </w:pPr>
      <w:r>
        <w:rPr>
          <w:rFonts w:ascii="Malgun Gothic" w:cs="Malgun Gothic" w:eastAsia="Malgun Gothic" w:hAnsi="Malgun Gothic"/>
          <w:sz w:val="21"/>
          <w:szCs w:val="21"/>
        </w:rPr>
        <w:t xml:space="preserve">쓰기 경로 — 점수 기록을 시트에 한 줄 추가하는 기능. 향후 만들 5지선다 시험의 자동 채점·기록과 동일한 방식이라, 시험 종료 시점에 다 같이 점수를 제출하는 상황을 가장 가깝게 재현함.</w:t>
      </w:r>
    </w:p>
    <w:p>
      <w:pPr>
        <w:pStyle w:val="Heading2"/>
        <w:spacing w:after="120" w:before="260"/>
      </w:pPr>
      <w:r>
        <w:rPr>
          <w:rFonts w:ascii="Malgun Gothic" w:cs="Malgun Gothic" w:eastAsia="Malgun Gothic" w:hAnsi="Malgun Gothic"/>
          <w:b/>
          <w:bCs/>
          <w:color w:val="3a48d6"/>
          <w:sz w:val="25"/>
          <w:szCs w:val="25"/>
        </w:rPr>
        <w:t xml:space="preserve">2.4 측정 지표</w:t>
      </w:r>
    </w:p>
    <w:p>
      <w:pPr>
        <w:pStyle w:val="ListParagraph"/>
        <w:numPr>
          <w:ilvl w:val="0"/>
          <w:numId w:val="1"/>
        </w:numPr>
        <w:spacing w:after="80" w:line="290"/>
      </w:pPr>
      <w:r>
        <w:rPr>
          <w:rFonts w:ascii="Malgun Gothic" w:cs="Malgun Gothic" w:eastAsia="Malgun Gothic" w:hAnsi="Malgun Gothic"/>
          <w:sz w:val="21"/>
          <w:szCs w:val="21"/>
        </w:rPr>
        <w:t xml:space="preserve">동시 요청 수(N): 한 번에 동시에 보낸 요청 개수</w:t>
      </w:r>
    </w:p>
    <w:p>
      <w:pPr>
        <w:pStyle w:val="ListParagraph"/>
        <w:numPr>
          <w:ilvl w:val="0"/>
          <w:numId w:val="1"/>
        </w:numPr>
        <w:spacing w:after="80" w:line="290"/>
      </w:pPr>
      <w:r>
        <w:rPr>
          <w:rFonts w:ascii="Malgun Gothic" w:cs="Malgun Gothic" w:eastAsia="Malgun Gothic" w:hAnsi="Malgun Gothic"/>
          <w:sz w:val="21"/>
          <w:szCs w:val="21"/>
        </w:rPr>
        <w:t xml:space="preserve">성공/실패: HTTP 200 응답을 성공으로, 오류·시간초과를 실패로 집계</w:t>
      </w:r>
    </w:p>
    <w:p>
      <w:pPr>
        <w:pStyle w:val="ListParagraph"/>
        <w:numPr>
          <w:ilvl w:val="0"/>
          <w:numId w:val="1"/>
        </w:numPr>
        <w:spacing w:after="80" w:line="290"/>
      </w:pPr>
      <w:r>
        <w:rPr>
          <w:rFonts w:ascii="Malgun Gothic" w:cs="Malgun Gothic" w:eastAsia="Malgun Gothic" w:hAnsi="Malgun Gothic"/>
          <w:sz w:val="21"/>
          <w:szCs w:val="21"/>
        </w:rPr>
        <w:t xml:space="preserve">전체 소요 시간: N개 요청을 모두 시작해서 마지막 응답을 받기까지 걸린 시간</w:t>
      </w:r>
    </w:p>
    <w:p>
      <w:pPr>
        <w:pStyle w:val="ListParagraph"/>
        <w:numPr>
          <w:ilvl w:val="0"/>
          <w:numId w:val="1"/>
        </w:numPr>
        <w:spacing w:after="80" w:line="290"/>
      </w:pPr>
      <w:r>
        <w:rPr>
          <w:rFonts w:ascii="Malgun Gothic" w:cs="Malgun Gothic" w:eastAsia="Malgun Gothic" w:hAnsi="Malgun Gothic"/>
          <w:sz w:val="21"/>
          <w:szCs w:val="21"/>
        </w:rPr>
        <w:t xml:space="preserve">응답 시간: 요청 하나하나가 응답을 받기까지 걸린 시간의 최소·최대·평균·중앙값</w:t>
      </w:r>
    </w:p>
    <w:p>
      <w:pPr>
        <w:spacing w:after="160" w:line="300"/>
      </w:pPr>
      <w:r>
        <w:rPr>
          <w:rFonts w:ascii="Malgun Gothic" w:cs="Malgun Gothic" w:eastAsia="Malgun Gothic" w:hAnsi="Malgun Gothic"/>
          <w:sz w:val="21"/>
          <w:szCs w:val="21"/>
        </w:rPr>
        <w:t xml:space="preserve">동시 요청 수는 20 → 50 → 100 → 200 → 500명 순으로 단계적으로 늘려가며 측정해, 특정 단계에서 오류율이 급증하지 않는지 확인했습니다.</w:t>
      </w:r>
    </w:p>
    <w:p>
      <w:pPr>
        <w:pStyle w:val="Heading1"/>
        <w:spacing w:after="160" w:before="320"/>
      </w:pPr>
      <w:r>
        <w:rPr>
          <w:rFonts w:ascii="Malgun Gothic" w:cs="Malgun Gothic" w:eastAsia="Malgun Gothic" w:hAnsi="Malgun Gothic"/>
          <w:b/>
          <w:bCs/>
          <w:sz w:val="30"/>
          <w:szCs w:val="30"/>
        </w:rPr>
        <w:t xml:space="preserve">3. 측정 결과</w:t>
      </w:r>
    </w:p>
    <w:p>
      <w:pPr>
        <w:pStyle w:val="Heading2"/>
        <w:spacing w:after="120" w:before="260"/>
      </w:pPr>
      <w:r>
        <w:rPr>
          <w:rFonts w:ascii="Malgun Gothic" w:cs="Malgun Gothic" w:eastAsia="Malgun Gothic" w:hAnsi="Malgun Gothic"/>
          <w:b/>
          <w:bCs/>
          <w:color w:val="3a48d6"/>
          <w:sz w:val="25"/>
          <w:szCs w:val="25"/>
        </w:rPr>
        <w:t xml:space="preserve">3.1 읽기 경로 (로그인 시 명렬 조회)</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300"/>
        <w:gridCol w:w="2300"/>
      </w:tblGrid>
      <w:tr>
        <w:trPr>
          <w:tblHeader/>
        </w:trPr>
        <w:tc>
          <w:tcPr>
            <w:tcW w:type="dxa" w:w="1800"/>
            <w:tcBorders>
              <w:top w:val="single" w:color="E6E8F2" w:sz="4"/>
              <w:left w:val="single" w:color="E6E8F2" w:sz="4"/>
              <w:bottom w:val="single" w:color="E6E8F2" w:sz="4"/>
              <w:right w:val="single" w:color="E6E8F2" w:sz="4"/>
            </w:tcBorders>
            <w:shd w:fill="5B6CF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동시 요청 수</w:t>
            </w:r>
          </w:p>
        </w:tc>
        <w:tc>
          <w:tcPr>
            <w:tcW w:type="dxa" w:w="1800"/>
            <w:tcBorders>
              <w:top w:val="single" w:color="E6E8F2" w:sz="4"/>
              <w:left w:val="single" w:color="E6E8F2" w:sz="4"/>
              <w:bottom w:val="single" w:color="E6E8F2" w:sz="4"/>
              <w:right w:val="single" w:color="E6E8F2" w:sz="4"/>
            </w:tcBorders>
            <w:shd w:fill="5B6CF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성공</w:t>
            </w:r>
          </w:p>
        </w:tc>
        <w:tc>
          <w:tcPr>
            <w:tcW w:type="dxa" w:w="1800"/>
            <w:tcBorders>
              <w:top w:val="single" w:color="E6E8F2" w:sz="4"/>
              <w:left w:val="single" w:color="E6E8F2" w:sz="4"/>
              <w:bottom w:val="single" w:color="E6E8F2" w:sz="4"/>
              <w:right w:val="single" w:color="E6E8F2" w:sz="4"/>
            </w:tcBorders>
            <w:shd w:fill="5B6CF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실패</w:t>
            </w:r>
          </w:p>
        </w:tc>
        <w:tc>
          <w:tcPr>
            <w:tcW w:type="dxa" w:w="2300"/>
            <w:tcBorders>
              <w:top w:val="single" w:color="E6E8F2" w:sz="4"/>
              <w:left w:val="single" w:color="E6E8F2" w:sz="4"/>
              <w:bottom w:val="single" w:color="E6E8F2" w:sz="4"/>
              <w:right w:val="single" w:color="E6E8F2" w:sz="4"/>
            </w:tcBorders>
            <w:shd w:fill="5B6CF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전체 소요시간</w:t>
            </w:r>
          </w:p>
        </w:tc>
        <w:tc>
          <w:tcPr>
            <w:tcW w:type="dxa" w:w="2300"/>
            <w:tcBorders>
              <w:top w:val="single" w:color="E6E8F2" w:sz="4"/>
              <w:left w:val="single" w:color="E6E8F2" w:sz="4"/>
              <w:bottom w:val="single" w:color="E6E8F2" w:sz="4"/>
              <w:right w:val="single" w:color="E6E8F2" w:sz="4"/>
            </w:tcBorders>
            <w:shd w:fill="5B6CF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평균 응답시간</w:t>
            </w:r>
          </w:p>
        </w:tc>
      </w:tr>
      <w:tr>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20</w:t>
            </w:r>
          </w:p>
        </w:tc>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20</w:t>
            </w:r>
          </w:p>
        </w:tc>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0</w:t>
            </w:r>
          </w:p>
        </w:tc>
        <w:tc>
          <w:tcPr>
            <w:tcW w:type="dxa" w:w="23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3.9초</w:t>
            </w:r>
          </w:p>
        </w:tc>
        <w:tc>
          <w:tcPr>
            <w:tcW w:type="dxa" w:w="23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2.17초</w:t>
            </w:r>
          </w:p>
        </w:tc>
      </w:tr>
      <w:tr>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50</w:t>
            </w:r>
          </w:p>
        </w:tc>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50</w:t>
            </w:r>
          </w:p>
        </w:tc>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0</w:t>
            </w:r>
          </w:p>
        </w:tc>
        <w:tc>
          <w:tcPr>
            <w:tcW w:type="dxa" w:w="23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9.9초</w:t>
            </w:r>
          </w:p>
        </w:tc>
        <w:tc>
          <w:tcPr>
            <w:tcW w:type="dxa" w:w="23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2.29초</w:t>
            </w:r>
          </w:p>
        </w:tc>
      </w:tr>
      <w:tr>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100</w:t>
            </w:r>
          </w:p>
        </w:tc>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100</w:t>
            </w:r>
          </w:p>
        </w:tc>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0</w:t>
            </w:r>
          </w:p>
        </w:tc>
        <w:tc>
          <w:tcPr>
            <w:tcW w:type="dxa" w:w="23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5.0초</w:t>
            </w:r>
          </w:p>
        </w:tc>
        <w:tc>
          <w:tcPr>
            <w:tcW w:type="dxa" w:w="23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2.74초</w:t>
            </w:r>
          </w:p>
        </w:tc>
      </w:tr>
      <w:tr>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200</w:t>
            </w:r>
          </w:p>
        </w:tc>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200</w:t>
            </w:r>
          </w:p>
        </w:tc>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0</w:t>
            </w:r>
          </w:p>
        </w:tc>
        <w:tc>
          <w:tcPr>
            <w:tcW w:type="dxa" w:w="23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4.9초</w:t>
            </w:r>
          </w:p>
        </w:tc>
        <w:tc>
          <w:tcPr>
            <w:tcW w:type="dxa" w:w="23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1.25초</w:t>
            </w:r>
          </w:p>
        </w:tc>
      </w:tr>
      <w:tr>
        <w:tc>
          <w:tcPr>
            <w:tcW w:type="dxa" w:w="1800"/>
            <w:tcBorders>
              <w:top w:val="single" w:color="E6E8F2" w:sz="4"/>
              <w:left w:val="single" w:color="E6E8F2" w:sz="4"/>
              <w:bottom w:val="single" w:color="E6E8F2" w:sz="4"/>
              <w:right w:val="single" w:color="E6E8F2" w:sz="4"/>
            </w:tcBorders>
            <w:shd w:fill="EEF0FF" w:val="clear"/>
            <w:tcMar>
              <w:top w:type="dxa" w:w="90"/>
              <w:left w:type="dxa" w:w="120"/>
              <w:bottom w:type="dxa" w:w="90"/>
              <w:right w:type="dxa" w:w="120"/>
            </w:tcMar>
            <w:vAlign w:val="center"/>
          </w:tcPr>
          <w:p>
            <w:pPr>
              <w:jc w:val="center"/>
            </w:pPr>
            <w:r>
              <w:rPr>
                <w:rFonts w:ascii="Malgun Gothic" w:cs="Malgun Gothic" w:eastAsia="Malgun Gothic" w:hAnsi="Malgun Gothic"/>
                <w:b/>
                <w:bCs/>
                <w:color w:val="3A48D6"/>
                <w:sz w:val="20"/>
                <w:szCs w:val="20"/>
              </w:rPr>
              <w:t xml:space="preserve">500</w:t>
            </w:r>
          </w:p>
        </w:tc>
        <w:tc>
          <w:tcPr>
            <w:tcW w:type="dxa" w:w="1800"/>
            <w:tcBorders>
              <w:top w:val="single" w:color="E6E8F2" w:sz="4"/>
              <w:left w:val="single" w:color="E6E8F2" w:sz="4"/>
              <w:bottom w:val="single" w:color="E6E8F2" w:sz="4"/>
              <w:right w:val="single" w:color="E6E8F2" w:sz="4"/>
            </w:tcBorders>
            <w:shd w:fill="EEF0FF" w:val="clear"/>
            <w:tcMar>
              <w:top w:type="dxa" w:w="90"/>
              <w:left w:type="dxa" w:w="120"/>
              <w:bottom w:type="dxa" w:w="90"/>
              <w:right w:type="dxa" w:w="120"/>
            </w:tcMar>
            <w:vAlign w:val="center"/>
          </w:tcPr>
          <w:p>
            <w:pPr>
              <w:jc w:val="center"/>
            </w:pPr>
            <w:r>
              <w:rPr>
                <w:rFonts w:ascii="Malgun Gothic" w:cs="Malgun Gothic" w:eastAsia="Malgun Gothic" w:hAnsi="Malgun Gothic"/>
                <w:b/>
                <w:bCs/>
                <w:color w:val="3A48D6"/>
                <w:sz w:val="20"/>
                <w:szCs w:val="20"/>
              </w:rPr>
              <w:t xml:space="preserve">500</w:t>
            </w:r>
          </w:p>
        </w:tc>
        <w:tc>
          <w:tcPr>
            <w:tcW w:type="dxa" w:w="1800"/>
            <w:tcBorders>
              <w:top w:val="single" w:color="E6E8F2" w:sz="4"/>
              <w:left w:val="single" w:color="E6E8F2" w:sz="4"/>
              <w:bottom w:val="single" w:color="E6E8F2" w:sz="4"/>
              <w:right w:val="single" w:color="E6E8F2" w:sz="4"/>
            </w:tcBorders>
            <w:shd w:fill="EEF0FF" w:val="clear"/>
            <w:tcMar>
              <w:top w:type="dxa" w:w="90"/>
              <w:left w:type="dxa" w:w="120"/>
              <w:bottom w:type="dxa" w:w="90"/>
              <w:right w:type="dxa" w:w="120"/>
            </w:tcMar>
            <w:vAlign w:val="center"/>
          </w:tcPr>
          <w:p>
            <w:pPr>
              <w:jc w:val="center"/>
            </w:pPr>
            <w:r>
              <w:rPr>
                <w:rFonts w:ascii="Malgun Gothic" w:cs="Malgun Gothic" w:eastAsia="Malgun Gothic" w:hAnsi="Malgun Gothic"/>
                <w:b/>
                <w:bCs/>
                <w:color w:val="3A48D6"/>
                <w:sz w:val="20"/>
                <w:szCs w:val="20"/>
              </w:rPr>
              <w:t xml:space="preserve">0</w:t>
            </w:r>
          </w:p>
        </w:tc>
        <w:tc>
          <w:tcPr>
            <w:tcW w:type="dxa" w:w="2300"/>
            <w:tcBorders>
              <w:top w:val="single" w:color="E6E8F2" w:sz="4"/>
              <w:left w:val="single" w:color="E6E8F2" w:sz="4"/>
              <w:bottom w:val="single" w:color="E6E8F2" w:sz="4"/>
              <w:right w:val="single" w:color="E6E8F2" w:sz="4"/>
            </w:tcBorders>
            <w:shd w:fill="EEF0FF" w:val="clear"/>
            <w:tcMar>
              <w:top w:type="dxa" w:w="90"/>
              <w:left w:type="dxa" w:w="120"/>
              <w:bottom w:type="dxa" w:w="90"/>
              <w:right w:type="dxa" w:w="120"/>
            </w:tcMar>
            <w:vAlign w:val="center"/>
          </w:tcPr>
          <w:p>
            <w:pPr>
              <w:jc w:val="center"/>
            </w:pPr>
            <w:r>
              <w:rPr>
                <w:rFonts w:ascii="Malgun Gothic" w:cs="Malgun Gothic" w:eastAsia="Malgun Gothic" w:hAnsi="Malgun Gothic"/>
                <w:b/>
                <w:bCs/>
                <w:color w:val="3A48D6"/>
                <w:sz w:val="20"/>
                <w:szCs w:val="20"/>
              </w:rPr>
              <w:t xml:space="preserve">5.3초</w:t>
            </w:r>
          </w:p>
        </w:tc>
        <w:tc>
          <w:tcPr>
            <w:tcW w:type="dxa" w:w="2300"/>
            <w:tcBorders>
              <w:top w:val="single" w:color="E6E8F2" w:sz="4"/>
              <w:left w:val="single" w:color="E6E8F2" w:sz="4"/>
              <w:bottom w:val="single" w:color="E6E8F2" w:sz="4"/>
              <w:right w:val="single" w:color="E6E8F2" w:sz="4"/>
            </w:tcBorders>
            <w:shd w:fill="EEF0FF" w:val="clear"/>
            <w:tcMar>
              <w:top w:type="dxa" w:w="90"/>
              <w:left w:type="dxa" w:w="120"/>
              <w:bottom w:type="dxa" w:w="90"/>
              <w:right w:type="dxa" w:w="120"/>
            </w:tcMar>
            <w:vAlign w:val="center"/>
          </w:tcPr>
          <w:p>
            <w:pPr>
              <w:jc w:val="center"/>
            </w:pPr>
            <w:r>
              <w:rPr>
                <w:rFonts w:ascii="Malgun Gothic" w:cs="Malgun Gothic" w:eastAsia="Malgun Gothic" w:hAnsi="Malgun Gothic"/>
                <w:b/>
                <w:bCs/>
                <w:color w:val="3A48D6"/>
                <w:sz w:val="20"/>
                <w:szCs w:val="20"/>
              </w:rPr>
              <w:t xml:space="preserve">1.20초</w:t>
            </w:r>
          </w:p>
        </w:tc>
      </w:tr>
    </w:tbl>
    <w:p>
      <w:pPr>
        <w:spacing w:after="160" w:before="160"/>
      </w:pPr>
    </w:p>
    <w:p>
      <w:pPr>
        <w:pStyle w:val="Heading2"/>
        <w:spacing w:after="120" w:before="260"/>
      </w:pPr>
      <w:r>
        <w:rPr>
          <w:rFonts w:ascii="Malgun Gothic" w:cs="Malgun Gothic" w:eastAsia="Malgun Gothic" w:hAnsi="Malgun Gothic"/>
          <w:b/>
          <w:bCs/>
          <w:color w:val="3a48d6"/>
          <w:sz w:val="25"/>
          <w:szCs w:val="25"/>
        </w:rPr>
        <w:t xml:space="preserve">3.2 쓰기 경로 (점수 기록 저장)</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300"/>
        <w:gridCol w:w="2300"/>
      </w:tblGrid>
      <w:tr>
        <w:trPr>
          <w:tblHeader/>
        </w:trPr>
        <w:tc>
          <w:tcPr>
            <w:tcW w:type="dxa" w:w="1800"/>
            <w:tcBorders>
              <w:top w:val="single" w:color="E6E8F2" w:sz="4"/>
              <w:left w:val="single" w:color="E6E8F2" w:sz="4"/>
              <w:bottom w:val="single" w:color="E6E8F2" w:sz="4"/>
              <w:right w:val="single" w:color="E6E8F2" w:sz="4"/>
            </w:tcBorders>
            <w:shd w:fill="5B6CF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동시 요청 수</w:t>
            </w:r>
          </w:p>
        </w:tc>
        <w:tc>
          <w:tcPr>
            <w:tcW w:type="dxa" w:w="1800"/>
            <w:tcBorders>
              <w:top w:val="single" w:color="E6E8F2" w:sz="4"/>
              <w:left w:val="single" w:color="E6E8F2" w:sz="4"/>
              <w:bottom w:val="single" w:color="E6E8F2" w:sz="4"/>
              <w:right w:val="single" w:color="E6E8F2" w:sz="4"/>
            </w:tcBorders>
            <w:shd w:fill="5B6CF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성공</w:t>
            </w:r>
          </w:p>
        </w:tc>
        <w:tc>
          <w:tcPr>
            <w:tcW w:type="dxa" w:w="1800"/>
            <w:tcBorders>
              <w:top w:val="single" w:color="E6E8F2" w:sz="4"/>
              <w:left w:val="single" w:color="E6E8F2" w:sz="4"/>
              <w:bottom w:val="single" w:color="E6E8F2" w:sz="4"/>
              <w:right w:val="single" w:color="E6E8F2" w:sz="4"/>
            </w:tcBorders>
            <w:shd w:fill="5B6CF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실패</w:t>
            </w:r>
          </w:p>
        </w:tc>
        <w:tc>
          <w:tcPr>
            <w:tcW w:type="dxa" w:w="2300"/>
            <w:tcBorders>
              <w:top w:val="single" w:color="E6E8F2" w:sz="4"/>
              <w:left w:val="single" w:color="E6E8F2" w:sz="4"/>
              <w:bottom w:val="single" w:color="E6E8F2" w:sz="4"/>
              <w:right w:val="single" w:color="E6E8F2" w:sz="4"/>
            </w:tcBorders>
            <w:shd w:fill="5B6CF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전체 소요시간</w:t>
            </w:r>
          </w:p>
        </w:tc>
        <w:tc>
          <w:tcPr>
            <w:tcW w:type="dxa" w:w="2300"/>
            <w:tcBorders>
              <w:top w:val="single" w:color="E6E8F2" w:sz="4"/>
              <w:left w:val="single" w:color="E6E8F2" w:sz="4"/>
              <w:bottom w:val="single" w:color="E6E8F2" w:sz="4"/>
              <w:right w:val="single" w:color="E6E8F2" w:sz="4"/>
            </w:tcBorders>
            <w:shd w:fill="5B6CF9" w:val="clear"/>
            <w:tcMar>
              <w:top w:type="dxa" w:w="100"/>
              <w:left w:type="dxa" w:w="120"/>
              <w:bottom w:type="dxa" w:w="100"/>
              <w:right w:type="dxa" w:w="120"/>
            </w:tcMar>
            <w:vAlign w:val="center"/>
          </w:tcPr>
          <w:p>
            <w:pPr>
              <w:jc w:val="center"/>
            </w:pPr>
            <w:r>
              <w:rPr>
                <w:rFonts w:ascii="Malgun Gothic" w:cs="Malgun Gothic" w:eastAsia="Malgun Gothic" w:hAnsi="Malgun Gothic"/>
                <w:b/>
                <w:bCs/>
                <w:color w:val="FFFFFF"/>
                <w:sz w:val="20"/>
                <w:szCs w:val="20"/>
              </w:rPr>
              <w:t xml:space="preserve">평균 응답시간</w:t>
            </w:r>
          </w:p>
        </w:tc>
      </w:tr>
      <w:tr>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100</w:t>
            </w:r>
          </w:p>
        </w:tc>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100</w:t>
            </w:r>
          </w:p>
        </w:tc>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0</w:t>
            </w:r>
          </w:p>
        </w:tc>
        <w:tc>
          <w:tcPr>
            <w:tcW w:type="dxa" w:w="23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13.5초</w:t>
            </w:r>
          </w:p>
        </w:tc>
        <w:tc>
          <w:tcPr>
            <w:tcW w:type="dxa" w:w="23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8.37초</w:t>
            </w:r>
          </w:p>
        </w:tc>
      </w:tr>
      <w:tr>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300</w:t>
            </w:r>
          </w:p>
        </w:tc>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300</w:t>
            </w:r>
          </w:p>
        </w:tc>
        <w:tc>
          <w:tcPr>
            <w:tcW w:type="dxa" w:w="18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0</w:t>
            </w:r>
          </w:p>
        </w:tc>
        <w:tc>
          <w:tcPr>
            <w:tcW w:type="dxa" w:w="23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6.4초</w:t>
            </w:r>
          </w:p>
        </w:tc>
        <w:tc>
          <w:tcPr>
            <w:tcW w:type="dxa" w:w="2300"/>
            <w:tcBorders>
              <w:top w:val="single" w:color="E6E8F2" w:sz="4"/>
              <w:left w:val="single" w:color="E6E8F2" w:sz="4"/>
              <w:bottom w:val="single" w:color="E6E8F2" w:sz="4"/>
              <w:right w:val="single" w:color="E6E8F2" w:sz="4"/>
            </w:tcBorders>
            <w:tcMar>
              <w:top w:type="dxa" w:w="90"/>
              <w:left w:type="dxa" w:w="120"/>
              <w:bottom w:type="dxa" w:w="90"/>
              <w:right w:type="dxa" w:w="120"/>
            </w:tcMar>
            <w:vAlign w:val="center"/>
          </w:tcPr>
          <w:p>
            <w:pPr>
              <w:jc w:val="center"/>
            </w:pPr>
            <w:r>
              <w:rPr>
                <w:rFonts w:ascii="Malgun Gothic" w:cs="Malgun Gothic" w:eastAsia="Malgun Gothic" w:hAnsi="Malgun Gothic"/>
                <w:b w:val="false"/>
                <w:bCs w:val="false"/>
                <w:sz w:val="20"/>
                <w:szCs w:val="20"/>
              </w:rPr>
              <w:t xml:space="preserve">1.59초</w:t>
            </w:r>
          </w:p>
        </w:tc>
      </w:tr>
      <w:tr>
        <w:tc>
          <w:tcPr>
            <w:tcW w:type="dxa" w:w="1800"/>
            <w:tcBorders>
              <w:top w:val="single" w:color="E6E8F2" w:sz="4"/>
              <w:left w:val="single" w:color="E6E8F2" w:sz="4"/>
              <w:bottom w:val="single" w:color="E6E8F2" w:sz="4"/>
              <w:right w:val="single" w:color="E6E8F2" w:sz="4"/>
            </w:tcBorders>
            <w:shd w:fill="EEF0FF" w:val="clear"/>
            <w:tcMar>
              <w:top w:type="dxa" w:w="90"/>
              <w:left w:type="dxa" w:w="120"/>
              <w:bottom w:type="dxa" w:w="90"/>
              <w:right w:type="dxa" w:w="120"/>
            </w:tcMar>
            <w:vAlign w:val="center"/>
          </w:tcPr>
          <w:p>
            <w:pPr>
              <w:jc w:val="center"/>
            </w:pPr>
            <w:r>
              <w:rPr>
                <w:rFonts w:ascii="Malgun Gothic" w:cs="Malgun Gothic" w:eastAsia="Malgun Gothic" w:hAnsi="Malgun Gothic"/>
                <w:b/>
                <w:bCs/>
                <w:color w:val="3A48D6"/>
                <w:sz w:val="20"/>
                <w:szCs w:val="20"/>
              </w:rPr>
              <w:t xml:space="preserve">500</w:t>
            </w:r>
          </w:p>
        </w:tc>
        <w:tc>
          <w:tcPr>
            <w:tcW w:type="dxa" w:w="1800"/>
            <w:tcBorders>
              <w:top w:val="single" w:color="E6E8F2" w:sz="4"/>
              <w:left w:val="single" w:color="E6E8F2" w:sz="4"/>
              <w:bottom w:val="single" w:color="E6E8F2" w:sz="4"/>
              <w:right w:val="single" w:color="E6E8F2" w:sz="4"/>
            </w:tcBorders>
            <w:shd w:fill="EEF0FF" w:val="clear"/>
            <w:tcMar>
              <w:top w:type="dxa" w:w="90"/>
              <w:left w:type="dxa" w:w="120"/>
              <w:bottom w:type="dxa" w:w="90"/>
              <w:right w:type="dxa" w:w="120"/>
            </w:tcMar>
            <w:vAlign w:val="center"/>
          </w:tcPr>
          <w:p>
            <w:pPr>
              <w:jc w:val="center"/>
            </w:pPr>
            <w:r>
              <w:rPr>
                <w:rFonts w:ascii="Malgun Gothic" w:cs="Malgun Gothic" w:eastAsia="Malgun Gothic" w:hAnsi="Malgun Gothic"/>
                <w:b/>
                <w:bCs/>
                <w:color w:val="3A48D6"/>
                <w:sz w:val="20"/>
                <w:szCs w:val="20"/>
              </w:rPr>
              <w:t xml:space="preserve">500</w:t>
            </w:r>
          </w:p>
        </w:tc>
        <w:tc>
          <w:tcPr>
            <w:tcW w:type="dxa" w:w="1800"/>
            <w:tcBorders>
              <w:top w:val="single" w:color="E6E8F2" w:sz="4"/>
              <w:left w:val="single" w:color="E6E8F2" w:sz="4"/>
              <w:bottom w:val="single" w:color="E6E8F2" w:sz="4"/>
              <w:right w:val="single" w:color="E6E8F2" w:sz="4"/>
            </w:tcBorders>
            <w:shd w:fill="EEF0FF" w:val="clear"/>
            <w:tcMar>
              <w:top w:type="dxa" w:w="90"/>
              <w:left w:type="dxa" w:w="120"/>
              <w:bottom w:type="dxa" w:w="90"/>
              <w:right w:type="dxa" w:w="120"/>
            </w:tcMar>
            <w:vAlign w:val="center"/>
          </w:tcPr>
          <w:p>
            <w:pPr>
              <w:jc w:val="center"/>
            </w:pPr>
            <w:r>
              <w:rPr>
                <w:rFonts w:ascii="Malgun Gothic" w:cs="Malgun Gothic" w:eastAsia="Malgun Gothic" w:hAnsi="Malgun Gothic"/>
                <w:b/>
                <w:bCs/>
                <w:color w:val="3A48D6"/>
                <w:sz w:val="20"/>
                <w:szCs w:val="20"/>
              </w:rPr>
              <w:t xml:space="preserve">0</w:t>
            </w:r>
          </w:p>
        </w:tc>
        <w:tc>
          <w:tcPr>
            <w:tcW w:type="dxa" w:w="2300"/>
            <w:tcBorders>
              <w:top w:val="single" w:color="E6E8F2" w:sz="4"/>
              <w:left w:val="single" w:color="E6E8F2" w:sz="4"/>
              <w:bottom w:val="single" w:color="E6E8F2" w:sz="4"/>
              <w:right w:val="single" w:color="E6E8F2" w:sz="4"/>
            </w:tcBorders>
            <w:shd w:fill="EEF0FF" w:val="clear"/>
            <w:tcMar>
              <w:top w:type="dxa" w:w="90"/>
              <w:left w:type="dxa" w:w="120"/>
              <w:bottom w:type="dxa" w:w="90"/>
              <w:right w:type="dxa" w:w="120"/>
            </w:tcMar>
            <w:vAlign w:val="center"/>
          </w:tcPr>
          <w:p>
            <w:pPr>
              <w:jc w:val="center"/>
            </w:pPr>
            <w:r>
              <w:rPr>
                <w:rFonts w:ascii="Malgun Gothic" w:cs="Malgun Gothic" w:eastAsia="Malgun Gothic" w:hAnsi="Malgun Gothic"/>
                <w:b/>
                <w:bCs/>
                <w:color w:val="3A48D6"/>
                <w:sz w:val="20"/>
                <w:szCs w:val="20"/>
              </w:rPr>
              <w:t xml:space="preserve">20.4초</w:t>
            </w:r>
          </w:p>
        </w:tc>
        <w:tc>
          <w:tcPr>
            <w:tcW w:type="dxa" w:w="2300"/>
            <w:tcBorders>
              <w:top w:val="single" w:color="E6E8F2" w:sz="4"/>
              <w:left w:val="single" w:color="E6E8F2" w:sz="4"/>
              <w:bottom w:val="single" w:color="E6E8F2" w:sz="4"/>
              <w:right w:val="single" w:color="E6E8F2" w:sz="4"/>
            </w:tcBorders>
            <w:shd w:fill="EEF0FF" w:val="clear"/>
            <w:tcMar>
              <w:top w:type="dxa" w:w="90"/>
              <w:left w:type="dxa" w:w="120"/>
              <w:bottom w:type="dxa" w:w="90"/>
              <w:right w:type="dxa" w:w="120"/>
            </w:tcMar>
            <w:vAlign w:val="center"/>
          </w:tcPr>
          <w:p>
            <w:pPr>
              <w:jc w:val="center"/>
            </w:pPr>
            <w:r>
              <w:rPr>
                <w:rFonts w:ascii="Malgun Gothic" w:cs="Malgun Gothic" w:eastAsia="Malgun Gothic" w:hAnsi="Malgun Gothic"/>
                <w:b/>
                <w:bCs/>
                <w:color w:val="3A48D6"/>
                <w:sz w:val="20"/>
                <w:szCs w:val="20"/>
              </w:rPr>
              <w:t xml:space="preserve">1.71초</w:t>
            </w:r>
          </w:p>
        </w:tc>
      </w:tr>
    </w:tbl>
    <w:p>
      <w:pPr>
        <w:spacing w:after="160" w:line="300"/>
      </w:pPr>
      <w:r>
        <w:rPr>
          <w:rFonts w:ascii="Malgun Gothic" w:cs="Malgun Gothic" w:eastAsia="Malgun Gothic" w:hAnsi="Malgun Gothic"/>
          <w:i/>
          <w:iCs/>
          <w:color w:val="6b6f85"/>
          <w:sz w:val="19"/>
          <w:szCs w:val="19"/>
        </w:rPr>
        <w:t xml:space="preserve">※ 쓰기 경로 500건 측정에서 가장 느린 요청 1건은 18.8초가 걸렸으나, 시간 초과나 오류 없이 정상 처리되었습니다.</w:t>
      </w:r>
    </w:p>
    <w:p>
      <w:pPr>
        <w:pStyle w:val="Heading1"/>
        <w:spacing w:after="160" w:before="320"/>
      </w:pPr>
      <w:r>
        <w:rPr>
          <w:rFonts w:ascii="Malgun Gothic" w:cs="Malgun Gothic" w:eastAsia="Malgun Gothic" w:hAnsi="Malgun Gothic"/>
          <w:b/>
          <w:bCs/>
          <w:sz w:val="30"/>
          <w:szCs w:val="30"/>
        </w:rPr>
        <w:t xml:space="preserve">4. 주요 발견 사항</w:t>
      </w:r>
    </w:p>
    <w:p>
      <w:pPr>
        <w:pStyle w:val="ListParagraph"/>
        <w:numPr>
          <w:ilvl w:val="0"/>
          <w:numId w:val="1"/>
        </w:numPr>
        <w:spacing w:after="80" w:line="290"/>
      </w:pPr>
      <w:r>
        <w:rPr>
          <w:rFonts w:ascii="Malgun Gothic" w:cs="Malgun Gothic" w:eastAsia="Malgun Gothic" w:hAnsi="Malgun Gothic"/>
          <w:sz w:val="21"/>
          <w:szCs w:val="21"/>
        </w:rPr>
        <w:t xml:space="preserve">읽기·쓰기 경로 모두, 동시 요청 20건부터 500건까지 전 구간에서 실패(오류·시간초과)가 단 한 건도 없었습니다.</w:t>
      </w:r>
    </w:p>
    <w:p>
      <w:pPr>
        <w:pStyle w:val="ListParagraph"/>
        <w:numPr>
          <w:ilvl w:val="0"/>
          <w:numId w:val="1"/>
        </w:numPr>
        <w:spacing w:after="80" w:line="290"/>
      </w:pPr>
      <w:r>
        <w:rPr>
          <w:rFonts w:ascii="Malgun Gothic" w:cs="Malgun Gothic" w:eastAsia="Malgun Gothic" w:hAnsi="Malgun Gothic"/>
          <w:sz w:val="21"/>
          <w:szCs w:val="21"/>
        </w:rPr>
        <w:t xml:space="preserve">"콜드 스타트" 현상이 관찰되었습니다 — 한동안 요청이 없다가 처음 몰리는 요청 묶음은 이후 요청들보다 느린 경향을 보였습니다(쓰기 경로 첫 100건 평균 8.37초 → 이후 300건 평균 1.59초, 500건 평균 1.71초). 이는 Apps Script가 오랜만에 실행될 때 초기화(예열)에 시간이 걸리기 때문으로 보입니다.</w:t>
      </w:r>
    </w:p>
    <w:p>
      <w:pPr>
        <w:pStyle w:val="ListParagraph"/>
        <w:numPr>
          <w:ilvl w:val="0"/>
          <w:numId w:val="1"/>
        </w:numPr>
        <w:spacing w:after="80" w:line="290"/>
      </w:pPr>
      <w:r>
        <w:rPr>
          <w:rFonts w:ascii="Malgun Gothic" w:cs="Malgun Gothic" w:eastAsia="Malgun Gothic" w:hAnsi="Malgun Gothic"/>
          <w:sz w:val="21"/>
          <w:szCs w:val="21"/>
        </w:rPr>
        <w:t xml:space="preserve">쓰기 경로는 읽기 경로보다 개별 응답 시간의 편차(최소~최대 폭)가 더 컸습니다. 여러 요청이 같은 시트에 동시에 줄을 추가하면서 내부적으로 순서를 조정하는 데 시간이 걸리는 것으로 추정됩니다.</w:t>
      </w:r>
    </w:p>
    <w:p>
      <w:pPr>
        <w:pStyle w:val="Heading1"/>
        <w:spacing w:after="160" w:before="320"/>
      </w:pPr>
      <w:r>
        <w:rPr>
          <w:rFonts w:ascii="Malgun Gothic" w:cs="Malgun Gothic" w:eastAsia="Malgun Gothic" w:hAnsi="Malgun Gothic"/>
          <w:b/>
          <w:bCs/>
          <w:sz w:val="30"/>
          <w:szCs w:val="30"/>
        </w:rPr>
        <w:t xml:space="preserve">5. 권장 사항</w:t>
      </w:r>
    </w:p>
    <w:p>
      <w:pPr>
        <w:pStyle w:val="ListParagraph"/>
        <w:numPr>
          <w:ilvl w:val="0"/>
          <w:numId w:val="1"/>
        </w:numPr>
        <w:spacing w:after="80" w:line="290"/>
      </w:pPr>
      <w:r>
        <w:rPr>
          <w:rFonts w:ascii="Malgun Gothic" w:cs="Malgun Gothic" w:eastAsia="Malgun Gothic" w:hAnsi="Malgun Gothic"/>
          <w:sz w:val="21"/>
          <w:szCs w:val="21"/>
        </w:rPr>
        <w:t xml:space="preserve">시험 시작 1~2분 전, 담임교사나 학생 몇 명이 미리 한 번 접속해 시스템을 "예열"시켜 두면 정식 시작 시각에 몰리는 첫 접속 파도의 지연을 줄일 수 있습니다.</w:t>
      </w:r>
    </w:p>
    <w:p>
      <w:pPr>
        <w:pStyle w:val="ListParagraph"/>
        <w:numPr>
          <w:ilvl w:val="0"/>
          <w:numId w:val="1"/>
        </w:numPr>
        <w:spacing w:after="80" w:line="290"/>
      </w:pPr>
      <w:r>
        <w:rPr>
          <w:rFonts w:ascii="Malgun Gothic" w:cs="Malgun Gothic" w:eastAsia="Malgun Gothic" w:hAnsi="Malgun Gothic"/>
          <w:sz w:val="21"/>
          <w:szCs w:val="21"/>
        </w:rPr>
        <w:t xml:space="preserve">최악의 경우에도 20초 내외면 처리가 완료되므로, 학생들에게 "제출 버튼을 누른 뒤 화면이 바로 안 바뀌어도 잠시 기다려 달라"고 안내하면 좋습니다.</w:t>
      </w:r>
    </w:p>
    <w:p>
      <w:pPr>
        <w:pStyle w:val="ListParagraph"/>
        <w:numPr>
          <w:ilvl w:val="0"/>
          <w:numId w:val="1"/>
        </w:numPr>
        <w:spacing w:after="80" w:line="290"/>
      </w:pPr>
      <w:r>
        <w:rPr>
          <w:rFonts w:ascii="Malgun Gothic" w:cs="Malgun Gothic" w:eastAsia="Malgun Gothic" w:hAnsi="Malgun Gothic"/>
          <w:sz w:val="21"/>
          <w:szCs w:val="21"/>
        </w:rPr>
        <w:t xml:space="preserve">가능하다면 학급별로 접속 시각을 1~2분씩 시차를 두면 순간 동시 접속 규모를 줄일 수 있어 더욱 안정적입니다.</w:t>
      </w:r>
    </w:p>
    <w:p>
      <w:pPr>
        <w:pStyle w:val="ListParagraph"/>
        <w:numPr>
          <w:ilvl w:val="0"/>
          <w:numId w:val="1"/>
        </w:numPr>
        <w:spacing w:after="80" w:line="290"/>
      </w:pPr>
      <w:r>
        <w:rPr>
          <w:rFonts w:ascii="Malgun Gothic" w:cs="Malgun Gothic" w:eastAsia="Malgun Gothic" w:hAnsi="Malgun Gothic"/>
          <w:sz w:val="21"/>
          <w:szCs w:val="21"/>
        </w:rPr>
        <w:t xml:space="preserve">실제 시험(5지선다 20문항) 기능을 구현한 뒤에는, 그 기능 자체로 동일한 방식의 부하 재측정을 한 번 더 진행하는 것을 권장합니다.</w:t>
      </w:r>
    </w:p>
    <w:p>
      <w:pPr>
        <w:pStyle w:val="Heading1"/>
        <w:spacing w:after="160" w:before="320"/>
      </w:pPr>
      <w:r>
        <w:rPr>
          <w:rFonts w:ascii="Malgun Gothic" w:cs="Malgun Gothic" w:eastAsia="Malgun Gothic" w:hAnsi="Malgun Gothic"/>
          <w:b/>
          <w:bCs/>
          <w:sz w:val="30"/>
          <w:szCs w:val="30"/>
        </w:rPr>
        <w:t xml:space="preserve">6. 테스트 데이터 안내</w:t>
      </w:r>
    </w:p>
    <w:p>
      <w:pPr>
        <w:spacing w:after="160" w:line="300"/>
      </w:pPr>
      <w:r>
        <w:rPr>
          <w:rFonts w:ascii="Malgun Gothic" w:cs="Malgun Gothic" w:eastAsia="Malgun Gothic" w:hAnsi="Malgun Gothic"/>
          <w:sz w:val="21"/>
          <w:szCs w:val="21"/>
        </w:rPr>
        <w:t xml:space="preserve">쓰기 경로 측정 과정에서 "기록" 시트에 테스트용 데이터 900행(100+300+500건)이 실제로 추가되었습니다. 아래 방법으로 쉽게 찾아 삭제할 수 있습니다.</w:t>
      </w:r>
    </w:p>
    <w:p>
      <w:pPr>
        <w:pStyle w:val="ListParagraph"/>
        <w:numPr>
          <w:ilvl w:val="0"/>
          <w:numId w:val="1"/>
        </w:numPr>
        <w:spacing w:after="80" w:line="290"/>
      </w:pPr>
      <w:r>
        <w:rPr>
          <w:rFonts w:ascii="Malgun Gothic" w:cs="Malgun Gothic" w:eastAsia="Malgun Gothic" w:hAnsi="Malgun Gothic"/>
          <w:sz w:val="21"/>
          <w:szCs w:val="21"/>
        </w:rPr>
        <w:t xml:space="preserve">학번코드 열: loadtest0 ~ loadtest499 로 표시됨</w:t>
      </w:r>
    </w:p>
    <w:p>
      <w:pPr>
        <w:pStyle w:val="ListParagraph"/>
        <w:numPr>
          <w:ilvl w:val="0"/>
          <w:numId w:val="1"/>
        </w:numPr>
        <w:spacing w:after="80" w:line="290"/>
      </w:pPr>
      <w:r>
        <w:rPr>
          <w:rFonts w:ascii="Malgun Gothic" w:cs="Malgun Gothic" w:eastAsia="Malgun Gothic" w:hAnsi="Malgun Gothic"/>
          <w:sz w:val="21"/>
          <w:szCs w:val="21"/>
        </w:rPr>
        <w:t xml:space="preserve">주제 열: "부하테스트-삭제해도됨" 으로 표시됨 (Ctrl+F로 검색 후 해당 행 일괄 삭제)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2026-08-28T08:45:12.485Z</dcterms:created>
  <dcterms:modified xsi:type="dcterms:W3CDTF">2026-08-28T08:45:12.487Z</dcterms:modified>
</cp:coreProperties>
</file>

<file path=docProps/custom.xml><?xml version="1.0" encoding="utf-8"?>
<Properties xmlns="http://schemas.openxmlformats.org/officeDocument/2006/custom-properties" xmlns:vt="http://schemas.openxmlformats.org/officeDocument/2006/docPropsVTypes"/>
</file>