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5: Gambling, Gaming &amp; Risk</w:t>
      </w:r>
    </w:p>
    <w:p>
      <w:pPr>
        <w:spacing w:after="200"/>
        <w:jc w:val="center"/>
      </w:pPr>
      <w:r>
        <w:rPr>
          <w:i/>
          <w:iCs/>
          <w:color w:val="555555"/>
        </w:rPr>
        <w:t xml:space="preserve">High School Health — Lesson Plan Checklist (Day 1 of 4)</w:t>
      </w:r>
    </w:p>
    <w:p>
      <w:pPr>
        <w:pStyle w:val="Heading2"/>
        <w:spacing w:after="120" w:before="300"/>
      </w:pPr>
      <w:r>
        <w:rPr>
          <w:b/>
          <w:bCs/>
          <w:color w:val="1F4E78"/>
        </w:rPr>
        <w:t xml:space="preserve">Day 1: How Gambling Works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5: Gambling, Gaming &amp; Risk — Day 1: How Gambling Works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1 of 4 (approx. 90 instructional minutes; split across two periods if your schedule uses shorter blocks)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what activities legally and functionally count as gambling (lottery, scratch tickets, casino games, sports betting apps, loot boxes/gacha-style game purchases); the difference between probability (the math of chance) and perception (how chance feels); the concept of house advantage/house edge; and why truly random systems cannot be reliably beaten over time.</w:t>
            </w:r>
          </w:p>
          <w:p>
            <w:r>
              <w:rPr>
                <w:b/>
                <w:bCs/>
              </w:rPr>
              <w:t xml:space="preserve">What should students be able to do (Skills): </w:t>
            </w:r>
          </w:p>
          <w:p>
            <w:r>
              <w:t xml:space="preserve">Students will be able to calculate simple probability and expected value for a chance-based scenario, and evaluate a claimed 'system' or 'strategy' for beating a random game using accurate information about odds.</w:t>
            </w:r>
          </w:p>
          <w:p>
            <w:r>
              <w:rPr>
                <w:i/>
                <w:iCs/>
                <w:color w:val="555555"/>
              </w:rPr>
              <w:t xml:space="preserve">Aligned to National Health Education Standard 3 (Accessing Valid Information)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explain, in their own words, why house advantage guarantees that gambling businesses profit over time, and will be able to correctly calculate probability for a simple chance event.</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(1) define probability, house edge, and gambler's fallacy accurately, and (2) solve a simple probability/expected-value problem correctly on the exit ticket, with at least 4 of 5 questions correct.</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aloud today's objective: 'Explain why the house always wins.' Tell students this begins a 4-day unit on gambling, gaming, and risk, and that today is about the math and mechanics behind chance.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Since this is the first lesson of the unit, use this time as a quick pre-assessment instead: read 5 true/false statements about gambling and luck aloud (e.g., 'A slot machine is 'due' for a win after many losses'); students respond with thumbs up/down. Do not correct answers yet — just note common misconceptions to address during the lesson.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Sorting activity using index cards: write one activity per card (buying a lottery ticket, playing a video game with loot boxes, playing a board game with dice for fun with no money at stake, betting on a football game, entering a free raffle, playing poker for money). In pairs, students sort cards into 'Gambling,' 'Not Gambling,' and 'Debatable,' then share reasoning. This surfaces that gambling = risking something of value on an uncertain outcome for a chance at more value.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(10 min): Define probability, odds, house advantage, and gambler's fallacy with everyday examples. Use a coin flip to show that each flip is independent — five heads in a row does not make tails 'due.'</w:t>
            </w:r>
          </w:p>
          <w:p>
            <w:pPr>
              <w:spacing w:after="60"/>
            </w:pPr>
            <w:r>
              <w:t xml:space="preserve">Hands-on demo (15 min): In small groups, students flip a coin (or roll dice, or spin a simple paper spinner made from a paperclip and pencil if coins/dice are limited) 20 times and record results, then calculate the actual percentage of heads/tails versus the theoretical 50/50 probability. Groups compare results and discuss why real trials vary from theory but averages out over many trials.</w:t>
            </w:r>
          </w:p>
          <w:p>
            <w:pPr>
              <w:spacing w:after="60"/>
            </w:pPr>
            <w:r>
              <w:t xml:space="preserve">House-edge simulation (15 min): Run a simple class betting game where students 'bet' points on high/low dice rolls, but the payout is structured so the 'house' (teacher) keeps a small edge — after several rounds, tally who is ahead. Discuss why the house consistently comes out ahead over many rounds even though individual students sometimes win.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Exit ticket (individual, written): 3 short questions — (1) define house advantage in your own words, (2) explain the gambler's fallacy using an example, (3) a simple probability calculation (e.g., probability of rolling a specific number on a six-sided die). Circulate during the activity to observe group discussions and correct misconceptions in real time.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Whole-class discussion: 'If the odds are always against the player, why do people keep playing?' Collect a few responses without going deep — tell students this exact question is tomorrow's lesson on the psychology of gambling.</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Whiteboard/markers, pre-made sorting index cards, coins or dice (paperclip-and-pencil spinners work as a no-cost substitute), scratch paper for probability calculations, printed or handwritten exit ticket. No specialty equipment required.</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If coins/dice are not available in enough quantity, one demonstration set at the front of the room plus paper spinners for groups works well. Watch for students who conflate 'random' with 'fair' or 'even' — the coin-flip data collection is the best moment to correct this.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2026-08-25T17:11:36.345Z</dcterms:created>
  <dcterms:modified xsi:type="dcterms:W3CDTF">2026-08-25T17:11:36.358Z</dcterms:modified>
</cp:coreProperties>
</file>

<file path=docProps/custom.xml><?xml version="1.0" encoding="utf-8"?>
<Properties xmlns="http://schemas.openxmlformats.org/officeDocument/2006/custom-properties" xmlns:vt="http://schemas.openxmlformats.org/officeDocument/2006/docPropsVTypes"/>
</file>