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Unit 7: Nutrition and Physical Activity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High School Health — Lesson Plan Checklist (Day 2 of 6)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Day 2: Nutrition Labels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 7: Nutrition and Physical Activity — Day 2: Nutrition Labels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Period/Rotation: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Day 2 of 6 (approx. 90 instructional minutes; split across periods as needed for your schedule)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Standard(s)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should students know (Knowledge): </w:t>
            </w:r>
          </w:p>
          <w:p>
            <w:r>
              <w:t xml:space="preserve">Students will know the parts of a standard nutrition facts label (serving size, calories, % Daily Value, macronutrient breakdown, added sugars) and how serving size relates to portion size (the amount a person actually chooses to eat).</w:t>
            </w:r>
          </w:p>
          <w:p>
            <w:r>
              <w:rPr>
                <w:b/>
                <w:bCs/>
              </w:rPr>
              <w:t xml:space="preserve">What should students be able to do (Skills): </w:t>
            </w:r>
          </w:p>
          <w:p>
            <w:r>
              <w:t xml:space="preserve">Students will be able to accurately read and interpret a nutrition facts label to compare two food products and estimate a reasonable portion size using simple visual references.</w:t>
            </w:r>
          </w:p>
          <w:p>
            <w:r>
              <w:rPr>
                <w:i/>
                <w:iCs/>
                <w:color w:val="555555"/>
              </w:rPr>
              <w:t xml:space="preserve">Aligned to National Health Education Standard 3 (Accessing Valid Information) and Standard 1 (Core Concepts)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Lesson Objective: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Students will be able to correctly identify the key parts of a nutrition facts label and use that information to compare two products, and estimate portion sizes using simple visual references.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Criteria for Success: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student meets the objective if they can correctly identify serving size, calories, and at least two nutrients on a sample label, and correctly compare two labeled products using that information.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0"/>
      </w:tblGrid>
      <w:tr>
        <w:trPr>
          <w:tblHeader/>
        </w:trP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Procedure Followed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0–5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Statement of Objectives/Goals: </w:t>
            </w:r>
          </w:p>
          <w:p>
            <w:pPr>
              <w:spacing w:after="60"/>
            </w:pPr>
            <w:r>
              <w:t xml:space="preserve">Post and read today's objective: 'Learn to read a nutrition facts label and estimate a reasonable portion size.'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5–15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Review Previously Learned Material: </w:t>
            </w:r>
          </w:p>
          <w:p>
            <w:pPr>
              <w:spacing w:after="60"/>
            </w:pPr>
            <w:r>
              <w:t xml:space="preserve">Quick recall: 'Name the three macronutrients and one job of each.' Cold-call a few students to check retention from Day 1 before connecting macronutrients to how they appear on a label.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15–25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Starter (I Strategies): </w:t>
            </w:r>
          </w:p>
          <w:p>
            <w:pPr>
              <w:spacing w:after="60"/>
            </w:pPr>
            <w:r>
              <w:t xml:space="preserve">Display one real (or teacher-recreated) nutrition facts label and ask: 'What do you already know how to read on this label? What's confusing?' Use responses to guide which parts to emphasize.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25–65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Learning Activity/Teaching Methods and Transitions (Teach/Explore/Model): </w:t>
            </w:r>
          </w:p>
          <w:p>
            <w:pPr>
              <w:spacing w:after="60"/>
            </w:pPr>
            <w:r>
              <w:t xml:space="preserve">Mini-lesson (15 min): Walk through each section of a nutrition facts label — serving size and servings per container, calories per serving, % Daily Value as a rough guide (5% or less is low, 20% or more is high), and added sugars. Clarify that serving size on a label is a standard reference amount, not a recommendation for how much to eat.</w:t>
            </w:r>
          </w:p>
          <w:p>
            <w:pPr>
              <w:spacing w:after="60"/>
            </w:pPr>
            <w:r>
              <w:t xml:space="preserve">Label scavenger hunt (20 min): In small groups, students examine 3–4 real or teacher-collected snack/food labels (students can bring an empty, clean food package from home in advance, or the teacher can print labels from product websites) and complete a short worksheet: identify serving size, calories, and one nutrient of interest, then compare two similar products (e.g., two cereals or two snacks) and decide which has more added sugar per serving.</w:t>
            </w:r>
          </w:p>
          <w:p>
            <w:pPr>
              <w:spacing w:after="60"/>
            </w:pPr>
            <w:r>
              <w:t xml:space="preserve">Portion-size visual reference (5 min): Introduce simple hand-based visual references for estimating portions without needing measuring tools (a palm-sized portion, a fist-sized portion, a cupped-hand portion, a thumb-sized portion) as a practical estimating tool, not a strict rule.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65–80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Check for Understanding (Observation/assessment): </w:t>
            </w:r>
          </w:p>
          <w:p>
            <w:pPr>
              <w:spacing w:after="60"/>
            </w:pPr>
            <w:r>
              <w:t xml:space="preserve">Worksheet check: review completed label-comparison worksheets for accuracy while circulating. Quick verbal check: ask 2–3 students to explain, in their own words, the difference between serving size and portion size.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80–90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Closure Activity: </w:t>
            </w:r>
          </w:p>
          <w:p>
            <w:pPr>
              <w:spacing w:after="60"/>
            </w:pPr>
            <w:r>
              <w:t xml:space="preserve">Whole-class share: one or two groups share their product comparison and what surprised them. Preview Day 3: physical activity guidelines and the FITT principle.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 content in Schoology: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Materials/Text References: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Real or teacher-printed nutrition facts labels (students can bring a clean, empty food package from home, or use labels printed from product/company websites in advance), label-comparison worksheet, whiteboard/markers. No specialty equipment required.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 Reflection/Notes: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Keep the label discussion neutral and skills-focused (how to read and compare, not which foods are 'allowed'). If a student brings a label from a food connected to a personal or family dietary restriction, keep the framing informational rather than evaluative.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2026-08-25T17:26:20.095Z</dcterms:created>
  <dcterms:modified xsi:type="dcterms:W3CDTF">2026-08-25T17:26:20.095Z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