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5: Gambling, Gaming &amp; Risk</w:t>
      </w:r>
    </w:p>
    <w:p>
      <w:pPr>
        <w:spacing w:after="200"/>
        <w:jc w:val="center"/>
      </w:pPr>
      <w:r>
        <w:rPr>
          <w:i/>
          <w:iCs/>
          <w:color w:val="555555"/>
        </w:rPr>
        <w:t xml:space="preserve">High School Health — Lesson Plan Checklist (Day 3 of 4)</w:t>
      </w:r>
    </w:p>
    <w:p>
      <w:pPr>
        <w:pStyle w:val="Heading2"/>
        <w:spacing w:after="120" w:before="300"/>
      </w:pPr>
      <w:r>
        <w:rPr>
          <w:b/>
          <w:bCs/>
          <w:color w:val="1F4E78"/>
        </w:rPr>
        <w:t xml:space="preserve">Day 3: Sports Betting &amp; Gambling Marketing</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5: Gambling, Gaming &amp; Risk — Day 3: Sports Betting &amp; Gambling Marketing</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3 of 4 (approx. 90 instructional minutes; split across two periods if your schedule uses shorter blocks)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how sportsbooks, betting apps, and daily fantasy sports operate; common marketing tactics used to attract new bettors (sign-up bonuses, 'risk-free' bet language, streak/loyalty rewards, celebrity and influencer promotion); and how these tactics normalize betting, particularly for a younger audience.</w:t>
            </w:r>
          </w:p>
          <w:p>
            <w:r>
              <w:rPr>
                <w:b/>
                <w:bCs/>
              </w:rPr>
              <w:t xml:space="preserve">What should students be able to do (Skills): </w:t>
            </w:r>
          </w:p>
          <w:p>
            <w:r>
              <w:t xml:space="preserve">Students will be able to analyze a marketing message to identify persuasive techniques and the target audience, and begin producing a counter-message (PSA) that addresses one identified tactic.</w:t>
            </w:r>
          </w:p>
          <w:p>
            <w:r>
              <w:rPr>
                <w:i/>
                <w:iCs/>
                <w:color w:val="555555"/>
              </w:rPr>
              <w:t xml:space="preserve">Aligned to National Health Education Standard 2 (Analyzing Influences) and Standard 8 (Advocacy)</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identify at least three persuasive marketing techniques used in sports betting advertising and explain how those techniques normalize gambling for young people.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student/group meets the objective if their marketing-analysis worksheet correctly identifies 3 or more persuasive techniques with the intended audience for each, and their group has a draft PSA message addressing at least one of those techniques by the end of class.</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'Spot the persuasion techniques gambling companies use to get new customers.'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Rapid-fire vocabulary review from Days 1–2 (house edge, gambler's fallacy, near miss, variable reinforcement) using quick verbal call-and-response or a show-of-hands quiz to check retention before the new topic.</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Display 2–3 teacher-created, non-branded mock ad slogans on the board (e.g., 'Your First Bet Is On Us — Sign Up Free!' or 'Everyone's Talking About the Game. Are You In?'). Ask students what they notice — what's exciting about the message, and what important information is missing (the actual odds, the risk).</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25–65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(10 min): Explain common tactics — sign-up/'risk-free' bonuses (which usually come with conditions), streak and loyalty rewards, influencer and celebrity endorsement, and how fantasy sports and prediction apps blur the line between 'skill game' and gambling to feel more acceptable.</w:t>
            </w:r>
          </w:p>
          <w:p>
            <w:pPr>
              <w:spacing w:after="60"/>
            </w:pPr>
            <w:r>
              <w:t xml:space="preserve">Small-group analysis (20 min): Give each group a different teacher-written mock ad or promo description (no real brand names/logos to keep this activity original and legally safe) plus a short marketing-analysis worksheet: identify the technique used, the likely target audience, and 'what the ad doesn't tell you.'</w:t>
            </w:r>
          </w:p>
          <w:p>
            <w:pPr>
              <w:spacing w:after="60"/>
            </w:pPr>
            <w:r>
              <w:t xml:space="preserve">Project launch — PSA Counter-Ad (10 min to start, continues into Day 4): Using the technique they analyzed, each group begins drafting a short counter-message or poster (on plain or poster paper with markers) that responds honestly to the tactic — e.g., a 'risk-free bet' counter-message that explains the real odds and conditions.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65–80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Each group shares out one identified marketing technique and one early idea for their counter-message. Teacher checks worksheets for accuracy while circulating.</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80–90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Groups store their in-progress PSA posters to finish at the start of Day 4. Preview Day 4: applying everything learned to real decision-making and knowing where to get help.</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Whiteboard/markers, teacher-created (non-branded) mock ad examples, marketing-analysis worksheet (one per group), plain or poster paper and markers/colored pencils for the PSA project. No branded materials, internet access, or specialty supplies required.</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Deliberately use invented, non-branded ad language rather than real company names/logos — this keeps the activity focused on technique rather than any single company and avoids reproducing copyrighted advertising material.</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2026-08-25T17:11:36.507Z</dcterms:created>
  <dcterms:modified xsi:type="dcterms:W3CDTF">2026-08-25T17:11:36.507Z</dcterms:modified>
</cp:coreProperties>
</file>

<file path=docProps/custom.xml><?xml version="1.0" encoding="utf-8"?>
<Properties xmlns="http://schemas.openxmlformats.org/officeDocument/2006/custom-properties" xmlns:vt="http://schemas.openxmlformats.org/officeDocument/2006/docPropsVTypes"/>
</file>