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b/>
          <w:color w:val="1F4E79"/>
          <w:sz w:val="32"/>
        </w:rPr>
        <w:t>DAY 2 - Tobacco and Vaping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448"/>
            <w:shd w:fill="DDEB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Teacher</w:t>
            </w:r>
          </w:p>
        </w:tc>
        <w:tc>
          <w:tcPr>
            <w:tcW w:type="dxa" w:w="83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________________________</w:t>
            </w:r>
          </w:p>
        </w:tc>
      </w:tr>
      <w:tr>
        <w:tc>
          <w:tcPr>
            <w:tcW w:type="dxa" w:w="2448"/>
            <w:shd w:fill="DDEB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83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________________________</w:t>
            </w:r>
          </w:p>
        </w:tc>
      </w:tr>
      <w:tr>
        <w:tc>
          <w:tcPr>
            <w:tcW w:type="dxa" w:w="2448"/>
            <w:shd w:fill="DDEB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Subject</w:t>
            </w:r>
          </w:p>
        </w:tc>
        <w:tc>
          <w:tcPr>
            <w:tcW w:type="dxa" w:w="83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Health</w:t>
            </w:r>
          </w:p>
        </w:tc>
      </w:tr>
      <w:tr>
        <w:tc>
          <w:tcPr>
            <w:tcW w:type="dxa" w:w="2448"/>
            <w:shd w:fill="DDEB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Unit</w:t>
            </w:r>
          </w:p>
        </w:tc>
        <w:tc>
          <w:tcPr>
            <w:tcW w:type="dxa" w:w="83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Unit 4: Tobacco, Alcohol, and Other Drugs</w:t>
            </w:r>
          </w:p>
        </w:tc>
      </w:tr>
      <w:tr>
        <w:tc>
          <w:tcPr>
            <w:tcW w:type="dxa" w:w="2448"/>
            <w:shd w:fill="DDEB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Period/Rotation</w:t>
            </w:r>
          </w:p>
        </w:tc>
        <w:tc>
          <w:tcPr>
            <w:tcW w:type="dxa" w:w="83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________________________</w:t>
            </w:r>
          </w:p>
        </w:tc>
      </w:tr>
      <w:tr>
        <w:tc>
          <w:tcPr>
            <w:tcW w:type="dxa" w:w="2448"/>
            <w:shd w:fill="DDEB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Skill Emphasis</w:t>
            </w:r>
          </w:p>
        </w:tc>
        <w:tc>
          <w:tcPr>
            <w:tcW w:type="dxa" w:w="83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Analyzing Influences</w:t>
            </w:r>
          </w:p>
        </w:tc>
      </w:tr>
    </w:tbl>
    <w:p>
      <w:pPr>
        <w:spacing w:after="0" w:before="0"/>
      </w:pPr>
    </w:p>
    <w:p>
      <w:pPr>
        <w:spacing w:before="60" w:after="60"/>
      </w:pPr>
      <w:r>
        <w:rPr>
          <w:b/>
          <w:color w:val="1F4E79"/>
          <w:sz w:val="22"/>
        </w:rPr>
        <w:t>Standard(s) / Knowledge &amp; Skills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3024"/>
            <w:shd w:fill="DDEB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b/>
                <w:sz w:val="19"/>
              </w:rPr>
              <w:t>What should students know</w:t>
              <w:br/>
              <w:t>(Knowledge)</w:t>
            </w:r>
          </w:p>
        </w:tc>
        <w:tc>
          <w:tcPr>
            <w:tcW w:type="dxa" w:w="777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ListBullet"/>
              <w:spacing w:after="40"/>
            </w:pPr>
            <w:r/>
            <w:r>
              <w:rPr>
                <w:sz w:val="20"/>
              </w:rPr>
              <w:t>Nicotine is highly addictive and can affect attention, learning, mood, and impulse control, especially during adolescence.</w:t>
            </w:r>
          </w:p>
          <w:p>
            <w:pPr>
              <w:pStyle w:val="ListBullet"/>
              <w:spacing w:after="40"/>
            </w:pPr>
            <w:r>
              <w:rPr>
                <w:sz w:val="20"/>
              </w:rPr>
              <w:t>Cigarettes, cigars, smokeless tobacco, nicotine pouches, and e-cigarettes differ in delivery method but can all create nicotine exposure.</w:t>
            </w:r>
          </w:p>
          <w:p>
            <w:pPr>
              <w:pStyle w:val="ListBullet"/>
              <w:spacing w:after="40"/>
            </w:pPr>
            <w:r>
              <w:rPr>
                <w:sz w:val="20"/>
              </w:rPr>
              <w:t>E-cigarette aerosol is not simply water vapor and may contain nicotine, ultrafine particles, flavoring chemicals, and other substances.</w:t>
            </w:r>
          </w:p>
          <w:p>
            <w:pPr>
              <w:pStyle w:val="ListBullet"/>
              <w:spacing w:after="40"/>
            </w:pPr>
            <w:r>
              <w:rPr>
                <w:sz w:val="20"/>
              </w:rPr>
              <w:t>Marketing, flavors, product design, social media, peer norms, and misconceptions can influence youth nicotine use.</w:t>
            </w:r>
          </w:p>
          <w:p>
            <w:pPr>
              <w:pStyle w:val="ListBullet"/>
              <w:spacing w:after="40"/>
            </w:pPr>
            <w:r>
              <w:rPr>
                <w:sz w:val="20"/>
              </w:rPr>
              <w:t>Combustible tobacco remains especially harmful because burning tobacco creates many toxic chemicals, while vaping is not harmless and is not appropriate for youth.</w:t>
            </w:r>
          </w:p>
        </w:tc>
      </w:tr>
      <w:tr>
        <w:tc>
          <w:tcPr>
            <w:tcW w:type="dxa" w:w="3024"/>
            <w:shd w:fill="DDEB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b/>
                <w:sz w:val="19"/>
              </w:rPr>
              <w:t>What should students be able to do</w:t>
              <w:br/>
              <w:t>(Skills)</w:t>
            </w:r>
          </w:p>
        </w:tc>
        <w:tc>
          <w:tcPr>
            <w:tcW w:type="dxa" w:w="7776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ListBullet"/>
              <w:spacing w:after="40"/>
            </w:pPr>
            <w:r/>
            <w:r>
              <w:rPr>
                <w:sz w:val="20"/>
              </w:rPr>
              <w:t>Analyze how advertising, social media, peers, flavors, product design, and perceived norms influence nicotine use.</w:t>
            </w:r>
          </w:p>
          <w:p>
            <w:pPr>
              <w:pStyle w:val="ListBullet"/>
              <w:spacing w:after="40"/>
            </w:pPr>
            <w:r>
              <w:rPr>
                <w:sz w:val="20"/>
              </w:rPr>
              <w:t>Evaluate common claims about vaping using credible evidence.</w:t>
            </w:r>
          </w:p>
          <w:p>
            <w:pPr>
              <w:pStyle w:val="ListBullet"/>
              <w:spacing w:after="40"/>
            </w:pPr>
            <w:r>
              <w:rPr>
                <w:sz w:val="20"/>
              </w:rPr>
              <w:t>Identify persuasive marketing techniques and intended audiences.</w:t>
            </w:r>
          </w:p>
          <w:p>
            <w:pPr>
              <w:pStyle w:val="ListBullet"/>
              <w:spacing w:after="40"/>
            </w:pPr>
            <w:r>
              <w:rPr>
                <w:sz w:val="20"/>
              </w:rPr>
              <w:t>Communicate a concise evidence-based counter-message.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448"/>
            <w:shd w:fill="DDEB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Lesson Objective</w:t>
            </w:r>
          </w:p>
        </w:tc>
        <w:tc>
          <w:tcPr>
            <w:tcW w:type="dxa" w:w="83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Students will analyze the health effects of nicotine and tobacco products and evaluate how marketing, social norms, and misconceptions influence adolescent vaping and tobacco use.</w:t>
            </w:r>
          </w:p>
        </w:tc>
      </w:tr>
    </w:tbl>
    <w:p>
      <w:pPr>
        <w:spacing w:after="0" w:before="0"/>
      </w:pPr>
    </w:p>
    <w:p>
      <w:pPr>
        <w:spacing w:before="60" w:after="60"/>
      </w:pPr>
      <w:r>
        <w:rPr>
          <w:b/>
          <w:color w:val="1F4E79"/>
          <w:sz w:val="22"/>
        </w:rPr>
        <w:t>Criteria for Success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448"/>
            <w:shd w:fill="DDEBF7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spacing w:after="0"/>
            </w:pPr>
            <w:r/>
            <w:r>
              <w:rPr>
                <w:b/>
                <w:sz w:val="19"/>
              </w:rPr>
              <w:t>Criteria for Success</w:t>
            </w:r>
          </w:p>
        </w:tc>
        <w:tc>
          <w:tcPr>
            <w:tcW w:type="dxa" w:w="8352"/>
            <w:tcMar>
              <w:top w:w="110" w:type="dxa"/>
              <w:start w:w="130" w:type="dxa"/>
              <w:bottom w:w="110" w:type="dxa"/>
              <w:end w:w="130" w:type="dxa"/>
            </w:tcMar>
          </w:tcPr>
          <w:p>
            <w:pPr>
              <w:pStyle w:val="ListNumber"/>
              <w:spacing w:after="40"/>
            </w:pPr>
            <w:r/>
            <w:r>
              <w:rPr>
                <w:sz w:val="20"/>
              </w:rPr>
              <w:t>Explain why nicotine can be especially concerning during adolescence.</w:t>
            </w:r>
          </w:p>
          <w:p>
            <w:pPr>
              <w:pStyle w:val="ListNumber"/>
              <w:spacing w:after="40"/>
            </w:pPr>
            <w:r>
              <w:rPr>
                <w:sz w:val="20"/>
              </w:rPr>
              <w:t>Identify at least three health risks associated with tobacco or vaping.</w:t>
            </w:r>
          </w:p>
          <w:p>
            <w:pPr>
              <w:pStyle w:val="ListNumber"/>
              <w:spacing w:after="40"/>
            </w:pPr>
            <w:r>
              <w:rPr>
                <w:sz w:val="20"/>
              </w:rPr>
              <w:t>Analyze at least three influences that can shape youth nicotine use.</w:t>
            </w:r>
          </w:p>
          <w:p>
            <w:pPr>
              <w:pStyle w:val="ListNumber"/>
              <w:spacing w:after="40"/>
            </w:pPr>
            <w:r>
              <w:rPr>
                <w:sz w:val="20"/>
              </w:rPr>
              <w:t>Correct at least two common vaping or tobacco misconceptions using credible evidence.</w:t>
            </w:r>
          </w:p>
          <w:p>
            <w:pPr>
              <w:pStyle w:val="ListNumber"/>
              <w:spacing w:after="40"/>
            </w:pPr>
            <w:r>
              <w:rPr>
                <w:sz w:val="20"/>
              </w:rPr>
              <w:t>Create an accurate counter-message aimed at a teen audience.</w:t>
            </w:r>
          </w:p>
        </w:tc>
      </w:tr>
    </w:tbl>
    <w:p>
      <w:pPr>
        <w:spacing w:after="0"/>
      </w:pPr>
    </w:p>
    <w:p>
      <w:pPr>
        <w:spacing w:before="60" w:after="60"/>
      </w:pPr>
      <w:r>
        <w:rPr>
          <w:b/>
          <w:color w:val="1F4E79"/>
          <w:sz w:val="22"/>
        </w:rPr>
        <w:t>90-Minute Procedure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1699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Minutes</w:t>
            </w:r>
          </w:p>
        </w:tc>
        <w:tc>
          <w:tcPr>
            <w:tcW w:type="dxa" w:w="9101"/>
            <w:shd w:fill="1F4E7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  <w:color w:val="FFFFFF"/>
                <w:sz w:val="19"/>
              </w:rPr>
              <w:t>Procedure Followed</w:t>
            </w:r>
          </w:p>
        </w:tc>
      </w:tr>
      <w:tr>
        <w:tc>
          <w:tcPr>
            <w:tcW w:type="dxa" w:w="1699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0-5</w:t>
            </w:r>
          </w:p>
        </w:tc>
        <w:tc>
          <w:tcPr>
            <w:tcW w:type="dxa" w:w="9101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 xml:space="preserve">Statement of Objectives/Goals: </w:t>
            </w:r>
            <w:r>
              <w:rPr>
                <w:sz w:val="19"/>
              </w:rPr>
              <w:t>Essential question: "If most teenagers know smoking is harmful, why do nicotine products still attract young people?"</w:t>
            </w:r>
          </w:p>
        </w:tc>
      </w:tr>
      <w:tr>
        <w:tc>
          <w:tcPr>
            <w:tcW w:type="dxa" w:w="1699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5-12</w:t>
            </w:r>
          </w:p>
        </w:tc>
        <w:tc>
          <w:tcPr>
            <w:tcW w:type="dxa" w:w="9101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 xml:space="preserve">Review Previously Learned Material: </w:t>
            </w:r>
            <w:r>
              <w:rPr>
                <w:sz w:val="19"/>
              </w:rPr>
              <w:t>Quick retrieval from Day 1: tolerance, dependence, addiction, and adolescent vulnerability. Connect nicotine to reinforcement and dependence.</w:t>
            </w:r>
          </w:p>
        </w:tc>
      </w:tr>
      <w:tr>
        <w:tc>
          <w:tcPr>
            <w:tcW w:type="dxa" w:w="1699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12-22</w:t>
            </w:r>
          </w:p>
        </w:tc>
        <w:tc>
          <w:tcPr>
            <w:tcW w:type="dxa" w:w="9101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 xml:space="preserve">Class Starter - Vaping Claim Check: </w:t>
            </w:r>
            <w:r>
              <w:rPr>
                <w:sz w:val="19"/>
              </w:rPr>
              <w:t>Students rate statements such as "Vapes are just flavored water vapor," "Nicotine-free means risk-free," and "If a product is sold legally, it must be safe for teens" as likely accurate, questionable, or inaccurate.</w:t>
            </w:r>
          </w:p>
        </w:tc>
      </w:tr>
      <w:tr>
        <w:tc>
          <w:tcPr>
            <w:tcW w:type="dxa" w:w="1699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22-38</w:t>
            </w:r>
          </w:p>
        </w:tc>
        <w:tc>
          <w:tcPr>
            <w:tcW w:type="dxa" w:w="9101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 xml:space="preserve">Mini-Lesson - Nicotine, Tobacco, and Vaping: </w:t>
            </w:r>
            <w:r>
              <w:rPr>
                <w:sz w:val="19"/>
              </w:rPr>
              <w:t>Teach nicotine effects, dependence, cigarette combustion, e-cigarette aerosol, short-term effects, longer-term concerns, and why youth should not use nicotine products. Clarify relative risk without implying vaping is harmless.</w:t>
            </w:r>
          </w:p>
        </w:tc>
      </w:tr>
      <w:tr>
        <w:tc>
          <w:tcPr>
            <w:tcW w:type="dxa" w:w="1699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38-60</w:t>
            </w:r>
          </w:p>
        </w:tc>
        <w:tc>
          <w:tcPr>
            <w:tcW w:type="dxa" w:w="9101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 xml:space="preserve">Chromebook Marketing Investigation: </w:t>
            </w:r>
            <w:r>
              <w:rPr>
                <w:sz w:val="19"/>
              </w:rPr>
              <w:t>Pairs analyze 2-3 teacher-approved nicotine/tobacco marketing examples or archived ads. Identify target audience, imagery, colors, social appeal, flavors, implied claims, omitted information, and intended behavior.</w:t>
            </w:r>
          </w:p>
        </w:tc>
      </w:tr>
      <w:tr>
        <w:tc>
          <w:tcPr>
            <w:tcW w:type="dxa" w:w="1699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60-72</w:t>
            </w:r>
          </w:p>
        </w:tc>
        <w:tc>
          <w:tcPr>
            <w:tcW w:type="dxa" w:w="9101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 xml:space="preserve">Myth vs. Evidence Challenge: </w:t>
            </w:r>
            <w:r>
              <w:rPr>
                <w:sz w:val="19"/>
              </w:rPr>
              <w:t>Groups receive common claims about vaping/tobacco and use CDC/FDA/NIDA sources to determine what the evidence supports. Each group posts one corrected claim with a source.</w:t>
            </w:r>
          </w:p>
        </w:tc>
      </w:tr>
      <w:tr>
        <w:tc>
          <w:tcPr>
            <w:tcW w:type="dxa" w:w="1699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72-83</w:t>
            </w:r>
          </w:p>
        </w:tc>
        <w:tc>
          <w:tcPr>
            <w:tcW w:type="dxa" w:w="9101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 xml:space="preserve">Counter-Ad Creation: </w:t>
            </w:r>
            <w:r>
              <w:rPr>
                <w:sz w:val="19"/>
              </w:rPr>
              <w:t>Students create a one-slide counter-ad or social-media-style graphic that responds to one marketing tactic or misconception. Requirements: accurate claim, teen-appropriate message, source listed, no scare tactics or exaggeration.</w:t>
            </w:r>
          </w:p>
        </w:tc>
      </w:tr>
      <w:tr>
        <w:tc>
          <w:tcPr>
            <w:tcW w:type="dxa" w:w="1699"/>
            <w:tcMar>
              <w:top w:w="105" w:type="dxa"/>
              <w:start w:w="120" w:type="dxa"/>
              <w:bottom w:w="105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b/>
                <w:sz w:val="18"/>
              </w:rPr>
              <w:t>83-90</w:t>
            </w:r>
          </w:p>
        </w:tc>
        <w:tc>
          <w:tcPr>
            <w:tcW w:type="dxa" w:w="9101"/>
            <w:tcMar>
              <w:top w:w="105" w:type="dxa"/>
              <w:start w:w="120" w:type="dxa"/>
              <w:bottom w:w="105" w:type="dxa"/>
              <w:end w:w="120" w:type="dxa"/>
            </w:tcMar>
          </w:tcPr>
          <w:p>
            <w:pPr>
              <w:spacing w:after="0"/>
            </w:pPr>
            <w:r>
              <w:rPr>
                <w:b/>
                <w:sz w:val="19"/>
              </w:rPr>
              <w:t xml:space="preserve">Check for Understanding / Closure: </w:t>
            </w:r>
            <w:r>
              <w:rPr>
                <w:sz w:val="19"/>
              </w:rPr>
              <w:t>Students submit an individual response: identify one influence on youth nicotine use and explain how a public-health message could counter that influence.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2448"/>
            <w:shd w:fill="DDEB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Check for Understanding</w:t>
            </w:r>
          </w:p>
        </w:tc>
        <w:tc>
          <w:tcPr>
            <w:tcW w:type="dxa" w:w="83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Individual written analysis of one influence on youth nicotine use plus an evidence-based strategy for countering that influence.</w:t>
            </w:r>
          </w:p>
        </w:tc>
      </w:tr>
      <w:tr>
        <w:tc>
          <w:tcPr>
            <w:tcW w:type="dxa" w:w="2448"/>
            <w:shd w:fill="DDEB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Class Closure Activity</w:t>
            </w:r>
          </w:p>
        </w:tc>
        <w:tc>
          <w:tcPr>
            <w:tcW w:type="dxa" w:w="83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One-sentence takeaway: "One thing nicotine marketing wants teens to believe is ___; the evidence shows ___."</w:t>
            </w:r>
          </w:p>
        </w:tc>
      </w:tr>
      <w:tr>
        <w:tc>
          <w:tcPr>
            <w:tcW w:type="dxa" w:w="2448"/>
            <w:shd w:fill="DDEB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Content in Schoology</w:t>
            </w:r>
          </w:p>
        </w:tc>
        <w:tc>
          <w:tcPr>
            <w:tcW w:type="dxa" w:w="83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Yes</w:t>
            </w:r>
          </w:p>
        </w:tc>
      </w:tr>
      <w:tr>
        <w:tc>
          <w:tcPr>
            <w:tcW w:type="dxa" w:w="2448"/>
            <w:shd w:fill="DDEB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Materials / Text References</w:t>
            </w:r>
          </w:p>
        </w:tc>
        <w:tc>
          <w:tcPr>
            <w:tcW w:type="dxa" w:w="83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Chromebooks, projector, Schoology, Google Slides/Canva, teacher-approved advertising examples, CDC tobacco/vaping resources, FDA youth tobacco resources, NIDA nicotine resources.</w:t>
            </w:r>
          </w:p>
        </w:tc>
      </w:tr>
      <w:tr>
        <w:tc>
          <w:tcPr>
            <w:tcW w:type="dxa" w:w="2448"/>
            <w:shd w:fill="DDEBF7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/>
                <w:sz w:val="19"/>
              </w:rPr>
              <w:t>Teacher Reflection / Notes</w:t>
            </w:r>
          </w:p>
        </w:tc>
        <w:tc>
          <w:tcPr>
            <w:tcW w:type="dxa" w:w="8352"/>
            <w:tcMar>
              <w:top w:w="110" w:type="dxa"/>
              <w:start w:w="130" w:type="dxa"/>
              <w:bottom w:w="110" w:type="dxa"/>
              <w:end w:w="130" w:type="dxa"/>
            </w:tcMar>
            <w:vAlign w:val="center"/>
          </w:tcPr>
          <w:p>
            <w:pPr>
              <w:spacing w:after="0"/>
            </w:pPr>
            <w:r/>
            <w:r>
              <w:rPr>
                <w:b w:val="0"/>
                <w:sz w:val="20"/>
              </w:rPr>
              <w:t>Could students separate relative-risk comparisons from the false conclusion that vaping is harmless? Did students identify subtle marketing tactics rather than only obvious ads?</w:t>
            </w:r>
          </w:p>
        </w:tc>
      </w:tr>
    </w:tbl>
    <w:p>
      <w:pPr>
        <w:spacing w:after="0" w:before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>High School Health - Lesson Guide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7"/>
      </w:rPr>
      <w:t>Unit 4: Tobacco, Alcohol, and Other Drugs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ptos" w:hAnsi="Apto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ptos" w:hAnsi="Apto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