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EDF5F" w14:textId="64D15BED" w:rsidR="00AE502B" w:rsidRPr="000A6CE7" w:rsidRDefault="00C21B95" w:rsidP="000A6CE7">
      <w:pPr>
        <w:jc w:val="center"/>
        <w:rPr>
          <w:b/>
          <w:bCs/>
          <w:sz w:val="32"/>
          <w:szCs w:val="32"/>
        </w:rPr>
      </w:pPr>
      <w:r w:rsidRPr="000A6CE7">
        <w:rPr>
          <w:b/>
          <w:bCs/>
          <w:sz w:val="32"/>
          <w:szCs w:val="32"/>
        </w:rPr>
        <w:t>Codebook for Adjust Task 4.4</w:t>
      </w:r>
    </w:p>
    <w:p w14:paraId="4B9251A5" w14:textId="393813E1" w:rsidR="00C21B95" w:rsidRDefault="00695434" w:rsidP="000A6CE7">
      <w:pPr>
        <w:pStyle w:val="Heading1"/>
      </w:pPr>
      <w:r>
        <w:t>1.</w:t>
      </w:r>
      <w:r>
        <w:tab/>
      </w:r>
      <w:r w:rsidR="000A6CE7">
        <w:t>About the project</w:t>
      </w:r>
    </w:p>
    <w:p w14:paraId="19C240C6" w14:textId="67A68CC5" w:rsidR="000A6CE7" w:rsidRDefault="000A6CE7" w:rsidP="002440D5">
      <w:r>
        <w:t xml:space="preserve">This project seeks to understand the </w:t>
      </w:r>
      <w:r>
        <w:rPr>
          <w:b/>
          <w:bCs/>
        </w:rPr>
        <w:t>policy paradigms</w:t>
      </w:r>
      <w:r w:rsidR="00B067F2">
        <w:t xml:space="preserve"> </w:t>
      </w:r>
      <w:r w:rsidR="00EF2DD2">
        <w:t xml:space="preserve">that </w:t>
      </w:r>
      <w:r w:rsidR="00B067F2">
        <w:t>the European Commission</w:t>
      </w:r>
      <w:r w:rsidR="006A4A85">
        <w:t xml:space="preserve"> (</w:t>
      </w:r>
      <w:r w:rsidR="006A4A85" w:rsidRPr="006A4A85">
        <w:rPr>
          <w:b/>
          <w:bCs/>
        </w:rPr>
        <w:t>EC</w:t>
      </w:r>
      <w:r w:rsidR="006A4A85">
        <w:t>)</w:t>
      </w:r>
      <w:r w:rsidR="00B067F2">
        <w:t xml:space="preserve"> </w:t>
      </w:r>
      <w:r w:rsidR="00EF2DD2">
        <w:t xml:space="preserve">implicitly </w:t>
      </w:r>
      <w:r w:rsidR="005C1906">
        <w:t xml:space="preserve">uses when assessing and recommending climate policies. </w:t>
      </w:r>
    </w:p>
    <w:p w14:paraId="4EEC03F0" w14:textId="0DDEFA11" w:rsidR="003C5B1B" w:rsidRPr="003C5B1B" w:rsidRDefault="003C5B1B" w:rsidP="003C5B1B">
      <w:r w:rsidRPr="003C5B1B">
        <w:t xml:space="preserve">A “policy paradigm” is a </w:t>
      </w:r>
      <w:r w:rsidRPr="003C5B1B">
        <w:rPr>
          <w:lang w:val="en-US"/>
        </w:rPr>
        <w:t xml:space="preserve">constellation of causal </w:t>
      </w:r>
      <w:r w:rsidR="007B79EC">
        <w:rPr>
          <w:lang w:val="en-US"/>
        </w:rPr>
        <w:t xml:space="preserve">beliefs </w:t>
      </w:r>
      <w:r w:rsidRPr="003C5B1B">
        <w:rPr>
          <w:lang w:val="en-US"/>
        </w:rPr>
        <w:t xml:space="preserve">and normative ideas that structures how a group of agents tends to think about the boundaries and causes of a social problem, and about the appropriate </w:t>
      </w:r>
      <w:r w:rsidRPr="003C5B1B">
        <w:t xml:space="preserve">ends (goals) and means (instruments) of public policy in responding to that problem </w:t>
      </w:r>
      <w:r w:rsidRPr="003C5B1B">
        <w:fldChar w:fldCharType="begin" w:fldLock="1"/>
      </w:r>
      <w:r w:rsidR="006208B4">
        <w:instrText>ADDIN CSL_CITATION {"citationItems":[{"id":"ITEM-1","itemData":{"author":[{"dropping-particle":"","family":"Hall","given":"Peter A","non-dropping-particle":"","parse-names":false,"suffix":""}],"container-title":"Comparative Politics","id":"ITEM-1","issue":"3","issued":{"date-parts":[["1993"]]},"page":"275-296","title":"Policy Paradigms, Social Learning, and the State: The Case of Economic Policymaking in Britain","type":"article-journal","volume":"25"},"uris":["http://www.mendeley.com/documents/?uuid=a380f3a2-2875-4069-8f37-58994ec14af2"]}],"mendeley":{"formattedCitation":"(Hall, 1993)","plainTextFormattedCitation":"(Hall, 1993)","previouslyFormattedCitation":"(Hall, 1993)"},"properties":{"noteIndex":0},"schema":"https://github.com/citation-style-language/schema/raw/master/csl-citation.json"}</w:instrText>
      </w:r>
      <w:r w:rsidRPr="003C5B1B">
        <w:fldChar w:fldCharType="separate"/>
      </w:r>
      <w:r w:rsidR="00D30583" w:rsidRPr="00D30583">
        <w:rPr>
          <w:noProof/>
        </w:rPr>
        <w:t>(Hall, 1993)</w:t>
      </w:r>
      <w:r w:rsidRPr="003C5B1B">
        <w:fldChar w:fldCharType="end"/>
      </w:r>
      <w:r w:rsidRPr="003C5B1B">
        <w:t xml:space="preserve">. Policy paradigms are often “taken for granted” by these groups and thus rarely exposed to scrutiny (ibid., 279). Government departments and other governmental institutions often embody and inculcate a particular paradigm whilst insulating themselves from alternative paradigms </w:t>
      </w:r>
      <w:r w:rsidRPr="003C5B1B">
        <w:fldChar w:fldCharType="begin" w:fldLock="1"/>
      </w:r>
      <w:r w:rsidR="006208B4">
        <w:instrText>ADDIN CSL_CITATION {"citationItems":[{"id":"ITEM-1","itemData":{"author":[{"dropping-particle":"","family":"Kuzemko","given":"Caroline","non-dropping-particle":"","parse-names":false,"suffix":""},{"dropping-particle":"","family":"Mitchell","given":"Catherine","non-dropping-particle":"","parse-names":false,"suffix":""}],"container-title":"Policy &amp; Politics","id":"ITEM-1","issue":"4","issued":{"date-parts":[["2014"]]},"page":"513-531","title":"Measuring and explaining policy paradigm change: the case of UK energy policy","type":"article-journal","volume":"42"},"uris":["http://www.mendeley.com/documents/?uuid=95af9df7-243d-4c3d-8731-7adc51bc6c16"]}],"mendeley":{"formattedCitation":"(Kuzemko &amp; Mitchell, 2014)","plainTextFormattedCitation":"(Kuzemko &amp; Mitchell, 2014)","previouslyFormattedCitation":"(Kuzemko &amp; Mitchell, 2014)"},"properties":{"noteIndex":0},"schema":"https://github.com/citation-style-language/schema/raw/master/csl-citation.json"}</w:instrText>
      </w:r>
      <w:r w:rsidRPr="003C5B1B">
        <w:fldChar w:fldCharType="separate"/>
      </w:r>
      <w:r w:rsidR="00D30583" w:rsidRPr="00D30583">
        <w:rPr>
          <w:noProof/>
        </w:rPr>
        <w:t>(Kuzemko &amp; Mitchell, 2014)</w:t>
      </w:r>
      <w:r w:rsidRPr="003C5B1B">
        <w:fldChar w:fldCharType="end"/>
      </w:r>
      <w:r w:rsidRPr="003C5B1B">
        <w:t xml:space="preserve">. But paradigms can change over time under conducive conditions (ibid.), such as due to shocks or crises </w:t>
      </w:r>
      <w:r w:rsidRPr="003C5B1B">
        <w:fldChar w:fldCharType="begin" w:fldLock="1"/>
      </w:r>
      <w:r w:rsidR="006208B4">
        <w:instrText>ADDIN CSL_CITATION {"citationItems":[{"id":"ITEM-1","itemData":{"author":[{"dropping-particle":"","family":"Blyth","given":"Mark","non-dropping-particle":"","parse-names":false,"suffix":""}],"id":"ITEM-1","issued":{"date-parts":[["2002"]]},"publisher":"Cambridge University Press","publisher-place":"Cambridge","title":"Great Transformations: Economic Ideas and Institutional Change in the 20th Century","type":"book"},"uris":["http://www.mendeley.com/documents/?uuid=ad302c5f-fdff-4e7a-b421-d89c2bb0c8d9"]}],"mendeley":{"formattedCitation":"(Blyth, 2002)","plainTextFormattedCitation":"(Blyth, 2002)","previouslyFormattedCitation":"(Blyth, 2002)"},"properties":{"noteIndex":0},"schema":"https://github.com/citation-style-language/schema/raw/master/csl-citation.json"}</w:instrText>
      </w:r>
      <w:r w:rsidRPr="003C5B1B">
        <w:fldChar w:fldCharType="separate"/>
      </w:r>
      <w:r w:rsidR="00D30583" w:rsidRPr="00D30583">
        <w:rPr>
          <w:noProof/>
        </w:rPr>
        <w:t>(Blyth, 2002)</w:t>
      </w:r>
      <w:r w:rsidRPr="003C5B1B">
        <w:fldChar w:fldCharType="end"/>
      </w:r>
      <w:r w:rsidRPr="003C5B1B">
        <w:t xml:space="preserve">. The concept of policy paradigms has been used to study the processes and outcomes of change in EU institutions </w:t>
      </w:r>
      <w:r w:rsidRPr="003C5B1B">
        <w:fldChar w:fldCharType="begin" w:fldLock="1"/>
      </w:r>
      <w:r w:rsidR="006208B4">
        <w:instrText>ADDIN CSL_CITATION {"citationItems":[{"id":"ITEM-1","itemData":{"DOI":"10.1080/0140238042000214874","ISSN":"01402382","abstract":"With the move in EU studies from a focus on European integration to Europeanisation, that is from the process of EU formation to its impact on member states, the number and range of theories and methodologies have proliferated. This article embraces such pluralism. Only by considering a full range of factors - policy problems, legacies, preferences, political and institutional capacity, and discourse - from a variety of perspectives - interest-based rationality, historical path-dependencies, social constructions of action, ideas and discourse - can a complete picture of policy change in Europe emerge. Discourse deserves to be emphasised, however, because it is an often missing, but important, approach to explanation. Discourse, as a set of ideas and a process of policy formulation and communication, helps complete our understanding of policy change when put in relation to other factors and perspectives. Where it helps explain - in which institutional settings - and when it helps - by exerting a causal influence - are matters for empirical investigation that are explored in the essays included in this volume. © 2004 Taylor and Francis Ltd.","author":[{"dropping-particle":"","family":"Schmidt","given":"Vivien A.","non-dropping-particle":"","parse-names":false,"suffix":""},{"dropping-particle":"","family":"Radaelli","given":"Claudio M.","non-dropping-particle":"","parse-names":false,"suffix":""}],"container-title":"West European Politics","id":"ITEM-1","issue":"2","issued":{"date-parts":[["2004","3"]]},"page":"183-210","title":"Policy change and discourse in Europe: Conceptual and methodological issues","type":"article-journal","volume":"27"},"uris":["http://www.mendeley.com/documents/?uuid=a2fcee2b-c167-3c0b-b6b1-175b44ca650c"]}],"mendeley":{"formattedCitation":"(Schmidt &amp; Radaelli, 2004)","plainTextFormattedCitation":"(Schmidt &amp; Radaelli, 2004)","previouslyFormattedCitation":"(Schmidt &amp; Radaelli, 2004)"},"properties":{"noteIndex":0},"schema":"https://github.com/citation-style-language/schema/raw/master/csl-citation.json"}</w:instrText>
      </w:r>
      <w:r w:rsidRPr="003C5B1B">
        <w:fldChar w:fldCharType="separate"/>
      </w:r>
      <w:r w:rsidR="00D30583" w:rsidRPr="00D30583">
        <w:rPr>
          <w:noProof/>
        </w:rPr>
        <w:t>(Schmidt &amp; Radaelli, 2004)</w:t>
      </w:r>
      <w:r w:rsidRPr="003C5B1B">
        <w:fldChar w:fldCharType="end"/>
      </w:r>
      <w:r w:rsidRPr="003C5B1B">
        <w:t>.</w:t>
      </w:r>
    </w:p>
    <w:p w14:paraId="16F2F674" w14:textId="62747421" w:rsidR="003C5B1B" w:rsidRDefault="003F7DD9" w:rsidP="002440D5">
      <w:r>
        <w:t xml:space="preserve">Our project is particularly focused on </w:t>
      </w:r>
      <w:r>
        <w:rPr>
          <w:i/>
          <w:iCs/>
        </w:rPr>
        <w:t xml:space="preserve">climate </w:t>
      </w:r>
      <w:r w:rsidRPr="003F7DD9">
        <w:rPr>
          <w:i/>
          <w:iCs/>
        </w:rPr>
        <w:t>policy paradigms</w:t>
      </w:r>
      <w:r w:rsidR="008C2229">
        <w:t>, i.e.</w:t>
      </w:r>
      <w:r>
        <w:t xml:space="preserve"> </w:t>
      </w:r>
      <w:r w:rsidR="008C2229">
        <w:t>p</w:t>
      </w:r>
      <w:r w:rsidRPr="003F7DD9">
        <w:t>olicy paradigms concerned with climate change mitigation.</w:t>
      </w:r>
      <w:r w:rsidR="008C2229">
        <w:t xml:space="preserve"> I’ll explain more about these </w:t>
      </w:r>
      <w:r w:rsidR="00DE27E9">
        <w:t>in Section 3</w:t>
      </w:r>
      <w:r w:rsidR="008C2229">
        <w:t>.</w:t>
      </w:r>
    </w:p>
    <w:p w14:paraId="6DCE7A17" w14:textId="0A758CFC" w:rsidR="003B068E" w:rsidRDefault="003B068E" w:rsidP="002440D5">
      <w:r>
        <w:t>Our project harnesses developments in machine learning and quantitative text analysis</w:t>
      </w:r>
      <w:r w:rsidR="00F176BE">
        <w:t xml:space="preserve"> to train a model to identify the dominant paradigm(s) in a particular policy document. Before we </w:t>
      </w:r>
      <w:r w:rsidR="006A4A85">
        <w:t>feed the model our corpus of EC climate-related documents</w:t>
      </w:r>
      <w:r w:rsidR="00563B79">
        <w:t xml:space="preserve">, we first need to train it using a sample of our corpus that has been human-coded—this is where you come in. We have given you a </w:t>
      </w:r>
      <w:r w:rsidR="0008620D">
        <w:t xml:space="preserve">sample of 400 EC documents to code. </w:t>
      </w:r>
      <w:r w:rsidR="00B03041">
        <w:t xml:space="preserve">Your </w:t>
      </w:r>
      <w:r w:rsidR="0008620D">
        <w:t xml:space="preserve">main coding task is to identify the dominant policy paradigm—or, if there is more than one, </w:t>
      </w:r>
      <w:r w:rsidR="00D02BE2">
        <w:t>the dominant paradigm</w:t>
      </w:r>
      <w:r w:rsidR="00D02BE2" w:rsidRPr="00D02BE2">
        <w:rPr>
          <w:u w:val="single"/>
        </w:rPr>
        <w:t>s</w:t>
      </w:r>
      <w:r w:rsidR="00D02BE2">
        <w:t xml:space="preserve"> (up to three)</w:t>
      </w:r>
      <w:r w:rsidR="004808CB">
        <w:t>—embodied in the document</w:t>
      </w:r>
      <w:r w:rsidR="001A2A57">
        <w:t>.</w:t>
      </w:r>
    </w:p>
    <w:p w14:paraId="6ED8E626" w14:textId="74E332B2" w:rsidR="001A2A57" w:rsidRDefault="001A2A57" w:rsidP="002440D5">
      <w:r>
        <w:t xml:space="preserve">The rest of this Codebook contains guidance to help you code the documents as accurately as possible. It has been compiled based on a </w:t>
      </w:r>
      <w:r w:rsidR="009112BF">
        <w:t xml:space="preserve">prior step, in which the two </w:t>
      </w:r>
      <w:r w:rsidR="00AB0F47">
        <w:t>project leads—myself and Dr Marion Dumas from the Grantham Research Institute at the LSE—</w:t>
      </w:r>
      <w:r w:rsidR="009112BF">
        <w:t>hand-cod</w:t>
      </w:r>
      <w:r w:rsidR="003C06FD">
        <w:t>ed</w:t>
      </w:r>
      <w:r w:rsidR="001D1AB1">
        <w:t xml:space="preserve"> 60 documents (the same 60 as each other; but different from your 400)</w:t>
      </w:r>
      <w:r w:rsidR="009112BF">
        <w:t xml:space="preserve"> </w:t>
      </w:r>
      <w:r w:rsidR="001D1AB1">
        <w:t xml:space="preserve">and </w:t>
      </w:r>
      <w:r w:rsidR="00DD3AB0">
        <w:t xml:space="preserve">Katie, </w:t>
      </w:r>
      <w:r w:rsidR="001D1AB1">
        <w:t xml:space="preserve">our RA </w:t>
      </w:r>
      <w:r w:rsidR="00DD3AB0">
        <w:t xml:space="preserve">who is doing the quant text analysis, </w:t>
      </w:r>
      <w:r w:rsidR="001D1AB1">
        <w:t xml:space="preserve">computed </w:t>
      </w:r>
      <w:r w:rsidR="00636890">
        <w:t>the convergence in our coding. Marion and I discussed our respective coding of the first ten documents</w:t>
      </w:r>
      <w:r w:rsidR="00801DE0">
        <w:t xml:space="preserve"> and agreed certain rules, which we then applied independently to the rest of our sample. </w:t>
      </w:r>
      <w:r w:rsidR="006A47E3">
        <w:t>We achieved sufficient conver</w:t>
      </w:r>
      <w:r w:rsidR="00B941C8">
        <w:t>gence</w:t>
      </w:r>
      <w:r w:rsidR="006A47E3">
        <w:t xml:space="preserve"> (based on norms in the literature) to proceed </w:t>
      </w:r>
      <w:r w:rsidR="002235F9">
        <w:t xml:space="preserve">to your coding of the 400 document sample. </w:t>
      </w:r>
    </w:p>
    <w:p w14:paraId="5CC24BB9" w14:textId="3681419C" w:rsidR="00BF1E66" w:rsidRDefault="00BF1E66" w:rsidP="002440D5">
      <w:r>
        <w:t xml:space="preserve">Below </w:t>
      </w:r>
      <w:r w:rsidR="00695434">
        <w:t xml:space="preserve">in Section 2 </w:t>
      </w:r>
      <w:r>
        <w:t xml:space="preserve">we provide a brief description and guidance on </w:t>
      </w:r>
      <w:r w:rsidR="00F87E89">
        <w:t xml:space="preserve">the coding of each of the items that need to be coded (each corresponding to a column in the spreadsheet), followed </w:t>
      </w:r>
      <w:r w:rsidR="002B1332">
        <w:t xml:space="preserve">in Section 3 </w:t>
      </w:r>
      <w:r w:rsidR="00F87E89">
        <w:t xml:space="preserve">by much more detailed </w:t>
      </w:r>
      <w:r w:rsidR="00444CEC">
        <w:t xml:space="preserve">discussion </w:t>
      </w:r>
      <w:r w:rsidR="009357C2">
        <w:t xml:space="preserve">that contains </w:t>
      </w:r>
      <w:r w:rsidR="00444CEC">
        <w:t xml:space="preserve">the </w:t>
      </w:r>
      <w:r w:rsidR="00CD3BD6">
        <w:t xml:space="preserve">definitions </w:t>
      </w:r>
      <w:r w:rsidR="002B1332">
        <w:t xml:space="preserve">of </w:t>
      </w:r>
      <w:r w:rsidR="002B1332">
        <w:lastRenderedPageBreak/>
        <w:t xml:space="preserve">the </w:t>
      </w:r>
      <w:r w:rsidR="00444CEC">
        <w:t xml:space="preserve">different </w:t>
      </w:r>
      <w:r w:rsidR="00A07D1A">
        <w:t xml:space="preserve">climate </w:t>
      </w:r>
      <w:r w:rsidR="00444CEC">
        <w:t xml:space="preserve">policy paradigms </w:t>
      </w:r>
      <w:r w:rsidR="00DA13C0">
        <w:t>(high</w:t>
      </w:r>
      <w:r w:rsidR="00CD3BD6">
        <w:t xml:space="preserve"> </w:t>
      </w:r>
      <w:r w:rsidR="00DA13C0">
        <w:t>level</w:t>
      </w:r>
      <w:r w:rsidR="00CD3BD6">
        <w:t xml:space="preserve"> of generality; objective</w:t>
      </w:r>
      <w:r w:rsidR="00590743">
        <w:t xml:space="preserve"> </w:t>
      </w:r>
      <w:r w:rsidR="002B1332">
        <w:t xml:space="preserve">/ </w:t>
      </w:r>
      <w:r w:rsidR="00590743">
        <w:t xml:space="preserve">based on </w:t>
      </w:r>
      <w:r w:rsidR="002B1332">
        <w:t xml:space="preserve">existing </w:t>
      </w:r>
      <w:r w:rsidR="00590743">
        <w:t>literature</w:t>
      </w:r>
      <w:r w:rsidR="00DA13C0">
        <w:t xml:space="preserve">) </w:t>
      </w:r>
      <w:r w:rsidR="00444CEC">
        <w:t xml:space="preserve">and the </w:t>
      </w:r>
      <w:r w:rsidR="00DA13C0">
        <w:t xml:space="preserve">mid-level </w:t>
      </w:r>
      <w:r w:rsidR="00444CEC">
        <w:t>rules</w:t>
      </w:r>
      <w:r w:rsidR="00DA13C0">
        <w:t>/principles</w:t>
      </w:r>
      <w:r w:rsidR="00444CEC">
        <w:t xml:space="preserve"> </w:t>
      </w:r>
      <w:r w:rsidR="002B1332">
        <w:t xml:space="preserve">that </w:t>
      </w:r>
      <w:r w:rsidR="00DA13C0">
        <w:t xml:space="preserve">Marion and I developed </w:t>
      </w:r>
      <w:r w:rsidR="00590743">
        <w:t>(</w:t>
      </w:r>
      <w:r w:rsidR="0098677F">
        <w:t xml:space="preserve">based on </w:t>
      </w:r>
      <w:r w:rsidR="00590743">
        <w:t xml:space="preserve">our </w:t>
      </w:r>
      <w:r w:rsidR="00A15C48">
        <w:t>inter-</w:t>
      </w:r>
      <w:r w:rsidR="00590743">
        <w:t xml:space="preserve">subjective interpretations of the paradigms </w:t>
      </w:r>
      <w:r w:rsidR="00A15C48">
        <w:t>as applied to our coding sample</w:t>
      </w:r>
      <w:r w:rsidR="00282F13">
        <w:t>)</w:t>
      </w:r>
      <w:r w:rsidR="009357C2">
        <w:t xml:space="preserve">, which </w:t>
      </w:r>
      <w:r w:rsidR="002B1332">
        <w:t xml:space="preserve">are designed to </w:t>
      </w:r>
      <w:r w:rsidR="009357C2">
        <w:t>guide you in apply</w:t>
      </w:r>
      <w:r w:rsidR="002B1332">
        <w:t>ing</w:t>
      </w:r>
      <w:r w:rsidR="009357C2">
        <w:t xml:space="preserve"> the </w:t>
      </w:r>
      <w:r w:rsidR="00282F13">
        <w:t>paradigm definitions to the documents you will be coding.</w:t>
      </w:r>
    </w:p>
    <w:p w14:paraId="3F801576" w14:textId="3B23006F" w:rsidR="000A6963" w:rsidRPr="00D02BE2" w:rsidRDefault="00695434" w:rsidP="00282F13">
      <w:pPr>
        <w:pStyle w:val="Heading1"/>
      </w:pPr>
      <w:r>
        <w:t>2.</w:t>
      </w:r>
      <w:r>
        <w:tab/>
      </w:r>
      <w:r w:rsidR="000A6245">
        <w:t>Items to be coded</w:t>
      </w:r>
    </w:p>
    <w:p w14:paraId="04590885" w14:textId="66A89B79" w:rsidR="00023384" w:rsidRDefault="00446D65" w:rsidP="00023384">
      <w:pPr>
        <w:pStyle w:val="Heading2"/>
      </w:pPr>
      <w:r>
        <w:t>Relevant</w:t>
      </w:r>
    </w:p>
    <w:p w14:paraId="4DD2D7FC" w14:textId="19CB680E" w:rsidR="00396E93" w:rsidRDefault="00FF3EB0" w:rsidP="002717E6">
      <w:r>
        <w:t>Task</w:t>
      </w:r>
      <w:r w:rsidR="00396E93">
        <w:t xml:space="preserve">: </w:t>
      </w:r>
      <w:r>
        <w:t xml:space="preserve">determine whether </w:t>
      </w:r>
      <w:r w:rsidR="00C76D78">
        <w:t xml:space="preserve">the document </w:t>
      </w:r>
      <w:r>
        <w:t xml:space="preserve">is </w:t>
      </w:r>
      <w:r w:rsidR="00C76D78">
        <w:t>substantively relevant to climate change mitigation</w:t>
      </w:r>
      <w:r>
        <w:t>.</w:t>
      </w:r>
    </w:p>
    <w:p w14:paraId="3A7C1538" w14:textId="0BBB2203" w:rsidR="00446D65" w:rsidRDefault="00023384" w:rsidP="002717E6">
      <w:r>
        <w:t>Options</w:t>
      </w:r>
      <w:r w:rsidR="008353E0">
        <w:t xml:space="preserve"> (use the drop-down menu in each cell in this column)</w:t>
      </w:r>
      <w:r>
        <w:t xml:space="preserve">: </w:t>
      </w:r>
      <w:r w:rsidR="00446D65">
        <w:t>Yes/No/Unsure</w:t>
      </w:r>
    </w:p>
    <w:p w14:paraId="6BAD873F" w14:textId="2348663C" w:rsidR="002717E6" w:rsidRDefault="00C76D78" w:rsidP="002717E6">
      <w:r>
        <w:t>Notes</w:t>
      </w:r>
      <w:r w:rsidR="002717E6">
        <w:t>/Rules/</w:t>
      </w:r>
      <w:r w:rsidR="007B4FD8">
        <w:t>G</w:t>
      </w:r>
      <w:r w:rsidR="002717E6">
        <w:t>uidance</w:t>
      </w:r>
      <w:r>
        <w:t xml:space="preserve">: </w:t>
      </w:r>
    </w:p>
    <w:p w14:paraId="74565F5C" w14:textId="77777777" w:rsidR="001D607D" w:rsidRDefault="00C76D78" w:rsidP="002717E6">
      <w:pPr>
        <w:pStyle w:val="ListParagraph"/>
        <w:numPr>
          <w:ilvl w:val="0"/>
          <w:numId w:val="3"/>
        </w:numPr>
      </w:pPr>
      <w:r>
        <w:t>Most documents in your sample will be relevant</w:t>
      </w:r>
      <w:r w:rsidR="00C63746">
        <w:t xml:space="preserve">, so the default answer will probably be ‘yes’. </w:t>
      </w:r>
    </w:p>
    <w:p w14:paraId="7C7027BE" w14:textId="6D5A37E9" w:rsidR="00C76D78" w:rsidRDefault="00C63746" w:rsidP="002717E6">
      <w:pPr>
        <w:pStyle w:val="ListParagraph"/>
        <w:numPr>
          <w:ilvl w:val="0"/>
          <w:numId w:val="3"/>
        </w:numPr>
      </w:pPr>
      <w:r>
        <w:t xml:space="preserve">However, some documents might mention climate change in a cursory way but </w:t>
      </w:r>
      <w:r w:rsidR="001D607D">
        <w:t>not engage with it in any significant way or have any clear implications for climate mitigation.</w:t>
      </w:r>
      <w:r w:rsidR="007A6764">
        <w:t xml:space="preserve"> If this is the case, code “No”.</w:t>
      </w:r>
    </w:p>
    <w:p w14:paraId="66030609" w14:textId="1C6A5BBE" w:rsidR="007D11F4" w:rsidRDefault="007D11F4" w:rsidP="007D11F4">
      <w:pPr>
        <w:pStyle w:val="ListParagraph"/>
        <w:numPr>
          <w:ilvl w:val="1"/>
          <w:numId w:val="3"/>
        </w:numPr>
      </w:pPr>
      <w:r>
        <w:t xml:space="preserve">Here is an example of a document that is NOT relevant: </w:t>
      </w:r>
      <w:hyperlink r:id="rId8" w:history="1">
        <w:r w:rsidRPr="00C27357">
          <w:rPr>
            <w:rStyle w:val="Hyperlink"/>
          </w:rPr>
          <w:t>https://eur-lex.europa.eu/legal-content/EN/TXT/?uri=CELEX:52013SC0343</w:t>
        </w:r>
      </w:hyperlink>
      <w:r>
        <w:t xml:space="preserve"> </w:t>
      </w:r>
    </w:p>
    <w:p w14:paraId="6B83DA38" w14:textId="6407D648" w:rsidR="00396E93" w:rsidRDefault="00E7565B" w:rsidP="00396E93">
      <w:pPr>
        <w:pStyle w:val="ListParagraph"/>
        <w:numPr>
          <w:ilvl w:val="0"/>
          <w:numId w:val="3"/>
        </w:numPr>
      </w:pPr>
      <w:r>
        <w:t>To be relevant</w:t>
      </w:r>
      <w:r w:rsidR="002C0A4B">
        <w:t>,</w:t>
      </w:r>
      <w:r>
        <w:t xml:space="preserve"> the document (e.g. its heading) does not need to </w:t>
      </w:r>
      <w:r w:rsidR="002C0A4B">
        <w:t xml:space="preserve">explicitly about “climate change”. For instance, it could be about forest protection, or battery recycling, or </w:t>
      </w:r>
      <w:r w:rsidR="00187391">
        <w:t xml:space="preserve">oil and gas licensing, and still be saying </w:t>
      </w:r>
      <w:r w:rsidR="00187391">
        <w:rPr>
          <w:i/>
          <w:iCs/>
        </w:rPr>
        <w:t xml:space="preserve">something significant </w:t>
      </w:r>
      <w:r w:rsidR="00187391">
        <w:t>about climate change.</w:t>
      </w:r>
    </w:p>
    <w:p w14:paraId="254CF2E5" w14:textId="39E70B1F" w:rsidR="00396E93" w:rsidRDefault="007D11F4" w:rsidP="007D11F4">
      <w:pPr>
        <w:pStyle w:val="ListParagraph"/>
        <w:numPr>
          <w:ilvl w:val="0"/>
          <w:numId w:val="3"/>
        </w:numPr>
      </w:pPr>
      <w:r>
        <w:t xml:space="preserve">A good rule of thumb is that if climate change is not engaged with sufficiently </w:t>
      </w:r>
      <w:r>
        <w:rPr>
          <w:i/>
          <w:iCs/>
        </w:rPr>
        <w:t>to infer any climate policy paradigm</w:t>
      </w:r>
      <w:r>
        <w:t>, then it’s not relevant</w:t>
      </w:r>
      <w:r w:rsidR="00CB5079">
        <w:t xml:space="preserve"> (this links with the first rule in the next section, i.e. all relevant documents require a label)</w:t>
      </w:r>
      <w:r>
        <w:t>.</w:t>
      </w:r>
    </w:p>
    <w:p w14:paraId="0100306A" w14:textId="47EA61A1" w:rsidR="00693C4C" w:rsidRDefault="00693C4C" w:rsidP="007D11F4">
      <w:pPr>
        <w:pStyle w:val="ListParagraph"/>
        <w:numPr>
          <w:ilvl w:val="0"/>
          <w:numId w:val="3"/>
        </w:numPr>
      </w:pPr>
      <w:r>
        <w:t>I</w:t>
      </w:r>
      <w:r w:rsidRPr="00693C4C">
        <w:t>n most if not all cases, you will need to open the document to get a sufficient sense of its content to identify its paradigm(s)</w:t>
      </w:r>
      <w:r>
        <w:t xml:space="preserve">. One exception </w:t>
      </w:r>
      <w:r w:rsidR="00683891">
        <w:t>is where you get a cluster of consecutive documents that are all obviously “Admin-only”, e.g. country reviews (see next section)—here, you will need to open the first document in the cluster, and if it’s clearly admin only</w:t>
      </w:r>
      <w:r w:rsidR="00ED36E8">
        <w:t>, and</w:t>
      </w:r>
      <w:r w:rsidR="00743B19">
        <w:t xml:space="preserve"> </w:t>
      </w:r>
      <w:r w:rsidR="00ED36E8">
        <w:t>a group of subsequent documents have exactly the same title but with a different country name attached, you should be able to label the</w:t>
      </w:r>
      <w:r w:rsidR="00743B19">
        <w:t>se subsequent documents as Admin-only without opening them.</w:t>
      </w:r>
    </w:p>
    <w:p w14:paraId="12F9A81E" w14:textId="0EB3367B" w:rsidR="00C546B2" w:rsidRDefault="00446D65" w:rsidP="00C546B2">
      <w:pPr>
        <w:pStyle w:val="Heading2"/>
      </w:pPr>
      <w:r>
        <w:lastRenderedPageBreak/>
        <w:t>Label</w:t>
      </w:r>
      <w:r w:rsidR="00C546B2">
        <w:t>, Secondary Label and Tertiary Label</w:t>
      </w:r>
    </w:p>
    <w:p w14:paraId="4546D6A4" w14:textId="36EF14C8" w:rsidR="00446D65" w:rsidRDefault="00FF3EB0" w:rsidP="00446D65">
      <w:r>
        <w:t xml:space="preserve">Task: </w:t>
      </w:r>
      <w:r w:rsidR="00752B71">
        <w:t>t</w:t>
      </w:r>
      <w:r w:rsidR="00C546B2">
        <w:t>h</w:t>
      </w:r>
      <w:r w:rsidR="00B07BE8">
        <w:t>e ‘Label’</w:t>
      </w:r>
      <w:r w:rsidR="00C546B2">
        <w:t xml:space="preserve"> </w:t>
      </w:r>
      <w:r w:rsidR="00B07BE8">
        <w:t xml:space="preserve">column (and, where applicable, secondary and tertiary label columns) </w:t>
      </w:r>
      <w:r w:rsidR="00C546B2">
        <w:t xml:space="preserve">is the most important </w:t>
      </w:r>
      <w:r w:rsidR="00B07BE8">
        <w:t>part of the coding</w:t>
      </w:r>
      <w:r w:rsidR="001E0A1C">
        <w:t xml:space="preserve">, where you identify the implicit policy paradigm in the document. </w:t>
      </w:r>
    </w:p>
    <w:p w14:paraId="657E6072" w14:textId="3BB13FCD" w:rsidR="001E0A1C" w:rsidRDefault="00752B71" w:rsidP="00446D65">
      <w:r>
        <w:t>Options</w:t>
      </w:r>
      <w:r w:rsidR="008353E0">
        <w:t xml:space="preserve"> (use the drop-down menu)</w:t>
      </w:r>
      <w:r>
        <w:t xml:space="preserve">: </w:t>
      </w:r>
    </w:p>
    <w:p w14:paraId="2A9A24C0" w14:textId="0DE05085" w:rsidR="00F93EEE" w:rsidRDefault="00F93EEE" w:rsidP="00F93EEE">
      <w:pPr>
        <w:pStyle w:val="ListParagraph"/>
        <w:numPr>
          <w:ilvl w:val="0"/>
          <w:numId w:val="4"/>
        </w:numPr>
      </w:pPr>
      <w:r>
        <w:t>Neoclassical</w:t>
      </w:r>
    </w:p>
    <w:p w14:paraId="7F3CDD5A" w14:textId="23FBE8C3" w:rsidR="00F93EEE" w:rsidRDefault="004C17BC" w:rsidP="00F93EEE">
      <w:pPr>
        <w:pStyle w:val="ListParagraph"/>
        <w:numPr>
          <w:ilvl w:val="0"/>
          <w:numId w:val="4"/>
        </w:numPr>
      </w:pPr>
      <w:r>
        <w:t>GG</w:t>
      </w:r>
      <w:r w:rsidR="00F93EEE">
        <w:t>—Keynesian</w:t>
      </w:r>
      <w:r w:rsidR="002A0246">
        <w:t>ism</w:t>
      </w:r>
      <w:r>
        <w:t xml:space="preserve"> [Note, GG = Green Growth]</w:t>
      </w:r>
    </w:p>
    <w:p w14:paraId="7D09EA37" w14:textId="30DAB730" w:rsidR="002A0246" w:rsidRDefault="004C17BC" w:rsidP="002A0246">
      <w:pPr>
        <w:pStyle w:val="ListParagraph"/>
        <w:numPr>
          <w:ilvl w:val="0"/>
          <w:numId w:val="4"/>
        </w:numPr>
      </w:pPr>
      <w:r>
        <w:t>GG</w:t>
      </w:r>
      <w:r w:rsidR="002A0246">
        <w:t>—Evolutionary</w:t>
      </w:r>
      <w:r>
        <w:t xml:space="preserve"> [Note, GG = Green Growth]</w:t>
      </w:r>
    </w:p>
    <w:p w14:paraId="4581F725" w14:textId="36E8AEDB" w:rsidR="002A0246" w:rsidRDefault="002A0246" w:rsidP="00F93EEE">
      <w:pPr>
        <w:pStyle w:val="ListParagraph"/>
        <w:numPr>
          <w:ilvl w:val="0"/>
          <w:numId w:val="4"/>
        </w:numPr>
      </w:pPr>
      <w:r>
        <w:t>Post-Growth</w:t>
      </w:r>
    </w:p>
    <w:p w14:paraId="76EBB25D" w14:textId="2719E32A" w:rsidR="002A0246" w:rsidRDefault="002A0246" w:rsidP="00F93EEE">
      <w:pPr>
        <w:pStyle w:val="ListParagraph"/>
        <w:numPr>
          <w:ilvl w:val="0"/>
          <w:numId w:val="4"/>
        </w:numPr>
      </w:pPr>
      <w:r>
        <w:t>Admin-only</w:t>
      </w:r>
    </w:p>
    <w:p w14:paraId="14966698" w14:textId="65978EBA" w:rsidR="00CB5079" w:rsidRDefault="00CB5079" w:rsidP="00CB5079">
      <w:r>
        <w:t>Notes/Rules/</w:t>
      </w:r>
      <w:r w:rsidR="007B4FD8">
        <w:t>G</w:t>
      </w:r>
      <w:r>
        <w:t xml:space="preserve">uidance: </w:t>
      </w:r>
    </w:p>
    <w:p w14:paraId="17034D88" w14:textId="1C566BF1" w:rsidR="008353E0" w:rsidRDefault="00565132" w:rsidP="00CB5079">
      <w:pPr>
        <w:pStyle w:val="ListParagraph"/>
        <w:numPr>
          <w:ilvl w:val="0"/>
          <w:numId w:val="5"/>
        </w:numPr>
      </w:pPr>
      <w:r>
        <w:t>If the document is relevant, then y</w:t>
      </w:r>
      <w:r w:rsidR="00CB5079">
        <w:t xml:space="preserve">ou must </w:t>
      </w:r>
      <w:r w:rsidR="008353E0">
        <w:t xml:space="preserve">enter a </w:t>
      </w:r>
      <w:r w:rsidR="00CB5079">
        <w:t xml:space="preserve">label </w:t>
      </w:r>
      <w:r w:rsidR="008353E0">
        <w:t xml:space="preserve">in </w:t>
      </w:r>
      <w:r w:rsidR="00CB5079">
        <w:t xml:space="preserve">the “Label” column. </w:t>
      </w:r>
    </w:p>
    <w:p w14:paraId="3ECC098D" w14:textId="6368EE76" w:rsidR="00CB5079" w:rsidRDefault="00CB5079" w:rsidP="00CB5079">
      <w:pPr>
        <w:pStyle w:val="ListParagraph"/>
        <w:numPr>
          <w:ilvl w:val="0"/>
          <w:numId w:val="5"/>
        </w:numPr>
      </w:pPr>
      <w:r>
        <w:t>Secondary and Tertiary labels are optional</w:t>
      </w:r>
      <w:r w:rsidR="004937EE">
        <w:t xml:space="preserve">. If you think that </w:t>
      </w:r>
      <w:r w:rsidR="0014530D">
        <w:t xml:space="preserve">two paradigms are </w:t>
      </w:r>
      <w:r w:rsidR="004937EE">
        <w:t xml:space="preserve">discernible in the document, </w:t>
      </w:r>
      <w:r w:rsidR="00F75D7D">
        <w:t xml:space="preserve">then you should enter a secondary label in the relevant </w:t>
      </w:r>
      <w:r w:rsidR="0014530D">
        <w:t>column</w:t>
      </w:r>
      <w:r w:rsidR="00F75D7D">
        <w:t xml:space="preserve">. If you think that three paradigms are discernible, then </w:t>
      </w:r>
      <w:r w:rsidR="00695434">
        <w:t xml:space="preserve">enter a third label in the tertiary label column. </w:t>
      </w:r>
    </w:p>
    <w:p w14:paraId="2C659133" w14:textId="34C07FE4" w:rsidR="006B0479" w:rsidRDefault="00DE3C7B" w:rsidP="00A2755B">
      <w:pPr>
        <w:pStyle w:val="ListParagraph"/>
        <w:numPr>
          <w:ilvl w:val="0"/>
          <w:numId w:val="5"/>
        </w:numPr>
      </w:pPr>
      <w:r>
        <w:t>‘</w:t>
      </w:r>
      <w:r w:rsidR="00CB5079">
        <w:t>Admin</w:t>
      </w:r>
      <w:r>
        <w:t>-</w:t>
      </w:r>
      <w:r w:rsidR="00CB5079">
        <w:t>only</w:t>
      </w:r>
      <w:r>
        <w:t xml:space="preserve">’ label: this should be used for relevant documents </w:t>
      </w:r>
      <w:r w:rsidR="006B0479">
        <w:t>that are</w:t>
      </w:r>
      <w:r w:rsidR="00383155">
        <w:t>:</w:t>
      </w:r>
      <w:r w:rsidR="006B0479">
        <w:t xml:space="preserve"> </w:t>
      </w:r>
    </w:p>
    <w:p w14:paraId="72145430" w14:textId="12D14238" w:rsidR="00383155" w:rsidRDefault="007E5239" w:rsidP="006B0479">
      <w:pPr>
        <w:pStyle w:val="ListParagraph"/>
        <w:numPr>
          <w:ilvl w:val="1"/>
          <w:numId w:val="5"/>
        </w:numPr>
      </w:pPr>
      <w:r>
        <w:t>P</w:t>
      </w:r>
      <w:r w:rsidR="00DE3C7B" w:rsidRPr="00DE3C7B">
        <w:t xml:space="preserve">urely </w:t>
      </w:r>
      <w:r w:rsidR="006B0479">
        <w:t xml:space="preserve">bureaucratic/procedural </w:t>
      </w:r>
      <w:r w:rsidR="00DE3C7B" w:rsidRPr="00DE3C7B">
        <w:t>things</w:t>
      </w:r>
      <w:r w:rsidR="00AD5A5B">
        <w:t>,</w:t>
      </w:r>
      <w:r w:rsidR="00DE3C7B" w:rsidRPr="00DE3C7B">
        <w:t xml:space="preserve"> like </w:t>
      </w:r>
      <w:r w:rsidR="00383155">
        <w:t xml:space="preserve">instructing an EC representative to </w:t>
      </w:r>
      <w:r w:rsidR="00DE3C7B" w:rsidRPr="00DE3C7B">
        <w:t>acce</w:t>
      </w:r>
      <w:r w:rsidR="00383155">
        <w:t>de</w:t>
      </w:r>
      <w:r w:rsidR="00DE3C7B" w:rsidRPr="00DE3C7B">
        <w:t xml:space="preserve"> to </w:t>
      </w:r>
      <w:r w:rsidR="00383155">
        <w:t>the Paris Agreement;</w:t>
      </w:r>
    </w:p>
    <w:p w14:paraId="46957FE9" w14:textId="09EDBCA4" w:rsidR="00596409" w:rsidRDefault="00383155" w:rsidP="006B0479">
      <w:pPr>
        <w:pStyle w:val="ListParagraph"/>
        <w:numPr>
          <w:ilvl w:val="1"/>
          <w:numId w:val="5"/>
        </w:numPr>
      </w:pPr>
      <w:r>
        <w:t xml:space="preserve">Purely informational, like </w:t>
      </w:r>
      <w:r w:rsidR="00DE3C7B" w:rsidRPr="00DE3C7B">
        <w:t>country fact-sheets</w:t>
      </w:r>
      <w:r w:rsidR="00596409">
        <w:t xml:space="preserve">; </w:t>
      </w:r>
    </w:p>
    <w:p w14:paraId="11881977" w14:textId="28D9C1F2" w:rsidR="00E97DE7" w:rsidRPr="00A94F07" w:rsidRDefault="00596409" w:rsidP="006B0479">
      <w:pPr>
        <w:pStyle w:val="ListParagraph"/>
        <w:numPr>
          <w:ilvl w:val="1"/>
          <w:numId w:val="5"/>
        </w:numPr>
      </w:pPr>
      <w:r>
        <w:t>P</w:t>
      </w:r>
      <w:r w:rsidR="00DE3C7B" w:rsidRPr="00DE3C7B">
        <w:t>urely backward-looking</w:t>
      </w:r>
      <w:r>
        <w:t xml:space="preserve"> / ex-post evaluative, like </w:t>
      </w:r>
      <w:r w:rsidR="00DE3C7B" w:rsidRPr="00DE3C7B">
        <w:t xml:space="preserve">reviews </w:t>
      </w:r>
      <w:r w:rsidR="00B34A31">
        <w:t xml:space="preserve">of countries’ compliance with </w:t>
      </w:r>
      <w:r w:rsidR="00112976">
        <w:t>existing E</w:t>
      </w:r>
      <w:r w:rsidR="002126C5">
        <w:t>U</w:t>
      </w:r>
      <w:r w:rsidR="00112976">
        <w:t xml:space="preserve"> laws and policies</w:t>
      </w:r>
      <w:r>
        <w:t xml:space="preserve"> </w:t>
      </w:r>
      <w:r w:rsidR="00DE3C7B" w:rsidRPr="00DE3C7B">
        <w:t>(</w:t>
      </w:r>
      <w:r w:rsidR="00112976">
        <w:t xml:space="preserve">you will probably come </w:t>
      </w:r>
      <w:r w:rsidR="00112976" w:rsidRPr="00A94F07">
        <w:t xml:space="preserve">across quite a few of </w:t>
      </w:r>
      <w:r w:rsidR="00DE3C7B" w:rsidRPr="00A94F07">
        <w:t>these</w:t>
      </w:r>
      <w:r w:rsidR="00E97DE7" w:rsidRPr="00A94F07">
        <w:t xml:space="preserve">). </w:t>
      </w:r>
    </w:p>
    <w:p w14:paraId="5E83D0A4" w14:textId="78A740B0" w:rsidR="007246EB" w:rsidRPr="00A94F07" w:rsidRDefault="007246EB" w:rsidP="006B0479">
      <w:pPr>
        <w:pStyle w:val="ListParagraph"/>
        <w:numPr>
          <w:ilvl w:val="1"/>
          <w:numId w:val="5"/>
        </w:numPr>
      </w:pPr>
      <w:r w:rsidRPr="00A94F07">
        <w:t>A borderline area</w:t>
      </w:r>
      <w:r w:rsidR="00AA266E" w:rsidRPr="00A94F07">
        <w:t xml:space="preserve"> is</w:t>
      </w:r>
      <w:r w:rsidRPr="00A94F07">
        <w:t xml:space="preserve"> </w:t>
      </w:r>
      <w:r w:rsidR="00AA266E" w:rsidRPr="00A94F07">
        <w:t>“</w:t>
      </w:r>
      <w:r w:rsidRPr="00A94F07">
        <w:t>programme reviews</w:t>
      </w:r>
      <w:r w:rsidR="00AA266E" w:rsidRPr="00A94F07">
        <w:t xml:space="preserve">”, where the Commission is ex-post reviewing the effectiveness of a particular </w:t>
      </w:r>
      <w:r w:rsidR="009148AE" w:rsidRPr="00A94F07">
        <w:t xml:space="preserve">EU law or </w:t>
      </w:r>
      <w:r w:rsidR="00AA266E" w:rsidRPr="00A94F07">
        <w:t>programme</w:t>
      </w:r>
      <w:r w:rsidR="009148AE" w:rsidRPr="00A94F07">
        <w:t>. These are borderline because such reviews often contain some forward-looking material at the end</w:t>
      </w:r>
      <w:r w:rsidR="003B1A35" w:rsidRPr="00A94F07">
        <w:t xml:space="preserve"> that reveals the Commission’s thinking at that point in time about what should happen</w:t>
      </w:r>
      <w:r w:rsidR="001D042D" w:rsidRPr="00A94F07">
        <w:t>. I</w:t>
      </w:r>
      <w:r w:rsidR="00086536" w:rsidRPr="00A94F07">
        <w:t>f</w:t>
      </w:r>
      <w:r w:rsidR="001D042D" w:rsidRPr="00A94F07">
        <w:t xml:space="preserve"> this section </w:t>
      </w:r>
      <w:r w:rsidR="00086536" w:rsidRPr="00A94F07">
        <w:t xml:space="preserve">exists in the document and </w:t>
      </w:r>
      <w:r w:rsidR="001D042D" w:rsidRPr="00A94F07">
        <w:t xml:space="preserve">is </w:t>
      </w:r>
      <w:r w:rsidR="003B1A35" w:rsidRPr="00A94F07">
        <w:t xml:space="preserve">sufficiently substantive to reveal a </w:t>
      </w:r>
      <w:r w:rsidR="001D042D" w:rsidRPr="00A94F07">
        <w:t xml:space="preserve">climate policy </w:t>
      </w:r>
      <w:r w:rsidR="003B1A35" w:rsidRPr="00A94F07">
        <w:t>paradigm</w:t>
      </w:r>
      <w:r w:rsidR="00086536" w:rsidRPr="00A94F07">
        <w:t>, then I would err on the side of coding the relevant paradigm(s), rather than coding it as Admin-only.</w:t>
      </w:r>
    </w:p>
    <w:p w14:paraId="488B030C" w14:textId="219F4003" w:rsidR="003B1A35" w:rsidRPr="00A94F07" w:rsidRDefault="003B1A35" w:rsidP="003B1A35">
      <w:pPr>
        <w:pStyle w:val="ListParagraph"/>
        <w:numPr>
          <w:ilvl w:val="2"/>
          <w:numId w:val="5"/>
        </w:numPr>
      </w:pPr>
      <w:r w:rsidRPr="00A94F07">
        <w:t xml:space="preserve">A good example is </w:t>
      </w:r>
      <w:hyperlink r:id="rId9" w:history="1">
        <w:r w:rsidRPr="00A94F07">
          <w:rPr>
            <w:rStyle w:val="Hyperlink"/>
          </w:rPr>
          <w:t>https://eur-lex.europa.eu/legal-content/EN/TXT/?uri=CELEX:52011DC0531</w:t>
        </w:r>
      </w:hyperlink>
      <w:r w:rsidRPr="00A94F07">
        <w:t xml:space="preserve"> </w:t>
      </w:r>
      <w:r w:rsidR="00B250DD" w:rsidRPr="00A94F07">
        <w:t>—</w:t>
      </w:r>
      <w:r w:rsidR="00A15181" w:rsidRPr="00A94F07">
        <w:t xml:space="preserve"> see the section on </w:t>
      </w:r>
      <w:r w:rsidR="007A420B" w:rsidRPr="00A94F07">
        <w:t xml:space="preserve">“Challenges for the Future”, and especially paras 5–8 of that section, which I think do disclose sufficient </w:t>
      </w:r>
      <w:r w:rsidR="00B37F9F" w:rsidRPr="00A94F07">
        <w:t xml:space="preserve">information to identify a paradigm. </w:t>
      </w:r>
      <w:r w:rsidR="00A94F07" w:rsidRPr="00A94F07">
        <w:t xml:space="preserve">So this would not be an admin-only document. </w:t>
      </w:r>
      <w:r w:rsidR="00B37F9F" w:rsidRPr="00A94F07">
        <w:t xml:space="preserve">I would code this as </w:t>
      </w:r>
      <w:r w:rsidR="00A94F07" w:rsidRPr="00A94F07">
        <w:t xml:space="preserve">“GG–Evolutionary” </w:t>
      </w:r>
      <w:r w:rsidR="00B37F9F" w:rsidRPr="00A94F07">
        <w:t xml:space="preserve">(primary label) and </w:t>
      </w:r>
      <w:r w:rsidR="00A94F07" w:rsidRPr="00A94F07">
        <w:t xml:space="preserve">“Neoclassical” </w:t>
      </w:r>
      <w:r w:rsidR="00B37F9F" w:rsidRPr="00A94F07">
        <w:t>(secondary label).</w:t>
      </w:r>
      <w:r w:rsidR="00892D99" w:rsidRPr="00A94F07">
        <w:t xml:space="preserve">  </w:t>
      </w:r>
    </w:p>
    <w:p w14:paraId="3F79715E" w14:textId="6EB7A8A3" w:rsidR="00DE3C7B" w:rsidRPr="00607A9F" w:rsidRDefault="00E97DE7" w:rsidP="00E97DE7">
      <w:pPr>
        <w:ind w:left="1080"/>
        <w:rPr>
          <w:b/>
          <w:bCs/>
          <w:i/>
          <w:iCs/>
        </w:rPr>
      </w:pPr>
      <w:r w:rsidRPr="00A94F07">
        <w:rPr>
          <w:b/>
          <w:bCs/>
          <w:i/>
          <w:iCs/>
        </w:rPr>
        <w:lastRenderedPageBreak/>
        <w:t xml:space="preserve">Note: </w:t>
      </w:r>
      <w:r w:rsidR="007246EB" w:rsidRPr="00A94F07">
        <w:rPr>
          <w:b/>
          <w:bCs/>
          <w:i/>
          <w:iCs/>
        </w:rPr>
        <w:t>if you are labelling a</w:t>
      </w:r>
      <w:r w:rsidR="007246EB" w:rsidRPr="00607A9F">
        <w:rPr>
          <w:b/>
          <w:bCs/>
          <w:i/>
          <w:iCs/>
        </w:rPr>
        <w:t xml:space="preserve"> document </w:t>
      </w:r>
      <w:r w:rsidRPr="00607A9F">
        <w:rPr>
          <w:b/>
          <w:bCs/>
          <w:i/>
          <w:iCs/>
        </w:rPr>
        <w:t>admin-only</w:t>
      </w:r>
      <w:r w:rsidR="007246EB" w:rsidRPr="00607A9F">
        <w:rPr>
          <w:b/>
          <w:bCs/>
          <w:i/>
          <w:iCs/>
        </w:rPr>
        <w:t>, be sure to only label the “Label” column; the secondary and tertiary labels should be left blank.</w:t>
      </w:r>
    </w:p>
    <w:p w14:paraId="14309DD9" w14:textId="05A9F820" w:rsidR="00CB5079" w:rsidRDefault="00607A9F" w:rsidP="00446D65">
      <w:pPr>
        <w:pStyle w:val="ListParagraph"/>
        <w:numPr>
          <w:ilvl w:val="0"/>
          <w:numId w:val="5"/>
        </w:numPr>
      </w:pPr>
      <w:r>
        <w:t>For guidance on the four paradigms, see the next section.</w:t>
      </w:r>
      <w:r w:rsidR="00565132">
        <w:t xml:space="preserve"> </w:t>
      </w:r>
    </w:p>
    <w:p w14:paraId="101B1A4B" w14:textId="646B3C69" w:rsidR="00607A9F" w:rsidRDefault="00446D65" w:rsidP="00CD76BB">
      <w:pPr>
        <w:pStyle w:val="Heading2"/>
      </w:pPr>
      <w:r>
        <w:t>Confidence</w:t>
      </w:r>
    </w:p>
    <w:p w14:paraId="6F459995" w14:textId="77777777" w:rsidR="00CD76BB" w:rsidRDefault="00607A9F" w:rsidP="00446D65">
      <w:r>
        <w:t xml:space="preserve">Task: </w:t>
      </w:r>
      <w:r w:rsidR="00CD76BB">
        <w:t>Rate y</w:t>
      </w:r>
      <w:r w:rsidR="00446D65">
        <w:t xml:space="preserve">our confidence level </w:t>
      </w:r>
      <w:r w:rsidR="00CD76BB">
        <w:t>in the accuracy of the label(s) coded</w:t>
      </w:r>
    </w:p>
    <w:p w14:paraId="49A52E7D" w14:textId="1FE587D8" w:rsidR="00446D65" w:rsidRDefault="00CD76BB" w:rsidP="00446D65">
      <w:r>
        <w:t xml:space="preserve">Options: </w:t>
      </w:r>
      <w:r w:rsidR="00446D65">
        <w:t>High/Medium/Low</w:t>
      </w:r>
      <w:r>
        <w:t xml:space="preserve"> (select from drop-down menu)</w:t>
      </w:r>
    </w:p>
    <w:p w14:paraId="50B9BE9B" w14:textId="2CFC71D0" w:rsidR="00A968BA" w:rsidRDefault="00A968BA" w:rsidP="00A968BA">
      <w:r>
        <w:t>Notes/Rules/</w:t>
      </w:r>
      <w:r w:rsidR="007B4FD8">
        <w:t>G</w:t>
      </w:r>
      <w:r>
        <w:t xml:space="preserve">uidance: </w:t>
      </w:r>
    </w:p>
    <w:p w14:paraId="37B25D80" w14:textId="1B6ED115" w:rsidR="00A968BA" w:rsidRDefault="00A968BA" w:rsidP="00A968BA">
      <w:pPr>
        <w:pStyle w:val="ListParagraph"/>
        <w:numPr>
          <w:ilvl w:val="0"/>
          <w:numId w:val="5"/>
        </w:numPr>
      </w:pPr>
      <w:r>
        <w:t xml:space="preserve">The confidence assessment should take into account </w:t>
      </w:r>
      <w:r w:rsidR="001C4E7D">
        <w:t xml:space="preserve">(i) </w:t>
      </w:r>
      <w:r>
        <w:t xml:space="preserve">whether </w:t>
      </w:r>
      <w:r w:rsidR="001C4E7D">
        <w:t xml:space="preserve">you believe you’ve correctly identified a paradigm </w:t>
      </w:r>
      <w:r w:rsidR="00DB4CB8">
        <w:t xml:space="preserve">(in </w:t>
      </w:r>
      <w:r w:rsidR="00DB4CB8" w:rsidRPr="00984C3B">
        <w:rPr>
          <w:i/>
          <w:iCs/>
        </w:rPr>
        <w:t>any</w:t>
      </w:r>
      <w:r w:rsidR="00DB4CB8">
        <w:t xml:space="preserve"> of your </w:t>
      </w:r>
      <w:r w:rsidR="00984C3B">
        <w:t xml:space="preserve">three </w:t>
      </w:r>
      <w:r w:rsidR="00DB4CB8">
        <w:t>label</w:t>
      </w:r>
      <w:r w:rsidR="00984C3B">
        <w:t xml:space="preserve"> columns</w:t>
      </w:r>
      <w:r w:rsidR="00DB4CB8">
        <w:t xml:space="preserve"> for that document); (ii) whether you’ve correctly ruled out a paradigm (by not including any label for it); and (iii)</w:t>
      </w:r>
      <w:r w:rsidR="007B4FD8">
        <w:t>, where you’ve included more than one label,</w:t>
      </w:r>
      <w:r w:rsidR="00DB4CB8">
        <w:t xml:space="preserve"> </w:t>
      </w:r>
      <w:r>
        <w:t>the</w:t>
      </w:r>
      <w:r w:rsidR="001C4E7D">
        <w:t xml:space="preserve"> </w:t>
      </w:r>
      <w:r w:rsidR="00DB4CB8">
        <w:t xml:space="preserve">ordering </w:t>
      </w:r>
      <w:r w:rsidR="007B4FD8">
        <w:t>of the labels.</w:t>
      </w:r>
    </w:p>
    <w:p w14:paraId="7104107F" w14:textId="77777777" w:rsidR="001B1F51" w:rsidRDefault="00446D65" w:rsidP="001B1F51">
      <w:pPr>
        <w:pStyle w:val="Heading2"/>
      </w:pPr>
      <w:r>
        <w:t>Initiating Body</w:t>
      </w:r>
    </w:p>
    <w:p w14:paraId="15BCF2B1" w14:textId="0274D5A5" w:rsidR="001B1F51" w:rsidRDefault="001B1F51" w:rsidP="00446D65">
      <w:r>
        <w:t xml:space="preserve">Task: </w:t>
      </w:r>
      <w:r w:rsidR="00390051">
        <w:t>Identify wh</w:t>
      </w:r>
      <w:r w:rsidR="00446D65">
        <w:t xml:space="preserve">ich EU body </w:t>
      </w:r>
      <w:r w:rsidR="00390051">
        <w:t>produced the document.</w:t>
      </w:r>
    </w:p>
    <w:p w14:paraId="0A5A4940" w14:textId="77777777" w:rsidR="00A968BA" w:rsidRDefault="001B1F51" w:rsidP="00446D65">
      <w:r>
        <w:t xml:space="preserve">Options: </w:t>
      </w:r>
      <w:r w:rsidR="00446D65">
        <w:t>manual input</w:t>
      </w:r>
    </w:p>
    <w:p w14:paraId="5734C606" w14:textId="77777777" w:rsidR="00390051" w:rsidRDefault="00390051" w:rsidP="00390051">
      <w:r>
        <w:t xml:space="preserve">Notes/Rules/Guidance: </w:t>
      </w:r>
    </w:p>
    <w:p w14:paraId="60F5543D" w14:textId="5E04C74A" w:rsidR="00446D65" w:rsidRDefault="00390051" w:rsidP="00390051">
      <w:pPr>
        <w:pStyle w:val="ListParagraph"/>
        <w:numPr>
          <w:ilvl w:val="0"/>
          <w:numId w:val="5"/>
        </w:numPr>
      </w:pPr>
      <w:r>
        <w:t xml:space="preserve">In every document I’ve seen, the initiating body is the </w:t>
      </w:r>
      <w:r w:rsidR="005B14A3">
        <w:t xml:space="preserve">EC. As such, I would just put “EC” in every cell in that column (you can just put it in </w:t>
      </w:r>
      <w:r w:rsidR="008215E6">
        <w:t xml:space="preserve">row 2 and then drag the contents of that down to the </w:t>
      </w:r>
      <w:r w:rsidR="00322ECE">
        <w:t>end.</w:t>
      </w:r>
    </w:p>
    <w:p w14:paraId="56248DB8" w14:textId="77777777" w:rsidR="00743B19" w:rsidRDefault="00446D65" w:rsidP="00743B19">
      <w:pPr>
        <w:pStyle w:val="Heading2"/>
      </w:pPr>
      <w:r>
        <w:t>Notes</w:t>
      </w:r>
    </w:p>
    <w:p w14:paraId="2B173A55" w14:textId="77777777" w:rsidR="00481962" w:rsidRDefault="00743B19" w:rsidP="00446D65">
      <w:r>
        <w:t>Task: note a</w:t>
      </w:r>
      <w:r w:rsidR="00446D65">
        <w:t xml:space="preserve">ny additional observations or comments; specifically how you came to your decision </w:t>
      </w:r>
    </w:p>
    <w:p w14:paraId="35258CB2" w14:textId="77777777" w:rsidR="00481962" w:rsidRDefault="00481962" w:rsidP="00481962">
      <w:r>
        <w:t>Options: manual input</w:t>
      </w:r>
    </w:p>
    <w:p w14:paraId="2C296783" w14:textId="77777777" w:rsidR="007B4FD8" w:rsidRDefault="007B4FD8" w:rsidP="007B4FD8">
      <w:r>
        <w:t xml:space="preserve">Notes/Rules/Guidance: </w:t>
      </w:r>
    </w:p>
    <w:p w14:paraId="7225B8A4" w14:textId="602AD03A" w:rsidR="007B4FD8" w:rsidRDefault="00483254" w:rsidP="00483254">
      <w:pPr>
        <w:pStyle w:val="ListParagraph"/>
        <w:numPr>
          <w:ilvl w:val="0"/>
          <w:numId w:val="5"/>
        </w:numPr>
      </w:pPr>
      <w:r>
        <w:t>You do not need to provide a lot of detail here (doing so will take to much time)</w:t>
      </w:r>
      <w:r w:rsidR="008316A6">
        <w:t xml:space="preserve">. The main value of this item is so that you can note </w:t>
      </w:r>
      <w:r w:rsidR="00F32A27">
        <w:t xml:space="preserve">your reasoning </w:t>
      </w:r>
      <w:r w:rsidR="008316A6">
        <w:t xml:space="preserve">in borderline cases or </w:t>
      </w:r>
      <w:r w:rsidR="00F32A27">
        <w:t xml:space="preserve">flag things </w:t>
      </w:r>
      <w:r w:rsidR="008316A6">
        <w:t xml:space="preserve">that you want to discuss with me, so that you can easily find them later. </w:t>
      </w:r>
      <w:r>
        <w:t xml:space="preserve"> </w:t>
      </w:r>
    </w:p>
    <w:p w14:paraId="75ED9D4D" w14:textId="5348B37A" w:rsidR="00F32A27" w:rsidRDefault="00F32A27" w:rsidP="00483254">
      <w:pPr>
        <w:pStyle w:val="ListParagraph"/>
        <w:numPr>
          <w:ilvl w:val="0"/>
          <w:numId w:val="5"/>
        </w:numPr>
      </w:pPr>
      <w:r>
        <w:t>For anything you have high confidence in (especially Admin-only</w:t>
      </w:r>
      <w:r w:rsidR="008448F0">
        <w:t xml:space="preserve"> labels), you needn’t enter any notes.</w:t>
      </w:r>
    </w:p>
    <w:p w14:paraId="1D5D8733" w14:textId="611377EA" w:rsidR="00446D65" w:rsidRDefault="00446D65" w:rsidP="004012FC">
      <w:pPr>
        <w:pStyle w:val="Heading2"/>
      </w:pPr>
      <w:r>
        <w:lastRenderedPageBreak/>
        <w:t>Labeller</w:t>
      </w:r>
    </w:p>
    <w:p w14:paraId="22A835AD" w14:textId="54639AB5" w:rsidR="00446D65" w:rsidRDefault="004012FC" w:rsidP="002440D5">
      <w:r>
        <w:t>Already labelled as “Joffrey” so no further action required here.</w:t>
      </w:r>
    </w:p>
    <w:p w14:paraId="356EDABB" w14:textId="53C35CFE" w:rsidR="004012FC" w:rsidRPr="00A07D1A" w:rsidRDefault="00A07D1A" w:rsidP="00A07D1A">
      <w:pPr>
        <w:pStyle w:val="Heading1"/>
      </w:pPr>
      <w:r w:rsidRPr="00A07D1A">
        <w:t>3.</w:t>
      </w:r>
      <w:r w:rsidRPr="00A07D1A">
        <w:tab/>
      </w:r>
      <w:r>
        <w:t>Climate policy paradigms</w:t>
      </w:r>
    </w:p>
    <w:p w14:paraId="4D6B1A55" w14:textId="798196F0" w:rsidR="00DE27E9" w:rsidRPr="00DE27E9" w:rsidRDefault="00DE27E9" w:rsidP="00DE27E9">
      <w:r>
        <w:t>Climate p</w:t>
      </w:r>
      <w:r w:rsidRPr="00DE27E9">
        <w:t>olicy paradigms have received some explicit attention in recent scholarship</w:t>
      </w:r>
      <w:r w:rsidR="00B313F7">
        <w:t>, though mostly those espoused in international organisations</w:t>
      </w:r>
      <w:r w:rsidRPr="00DE27E9">
        <w:t xml:space="preserve"> </w:t>
      </w:r>
      <w:r w:rsidRPr="00DE27E9">
        <w:fldChar w:fldCharType="begin" w:fldLock="1"/>
      </w:r>
      <w:r w:rsidR="006208B4">
        <w:instrText>ADDIN CSL_CITATION {"citationItems":[{"id":"ITEM-1","itemData":{"DOI":"10.1038/s41558-020-0739-7","ISBN":"4155802007","ISSN":"17586798","abstract":"From carbon pricing to green industrial policy, economic ideas have shaped climate policy. Drawing on a new dataset of policy reports, we show how economic ideas influenced climate policy advice by major international organizations, including the Organisation for Economic Cooperation and Development and the World Bank, from 1990 to 2017. In the 1990s, the neoclassical notion of weak complementarity between environmental protection and growth dominated debates on sustainable development. In the mid-2000s, economic thought on the environment diversified, as the idea of strong complementarity between environmental protection and growth emerged in the green growth discourse. Adaptations of Schumpeterian and Keynesian economics identified investment in energy innovation and infrastructure as drivers of growth. We thus identify a major transformation from a neoclassical paradigm to a diversified policy discourse, suggesting that climate policy has entered a postparadigmatic period. The diversification of ideas broadened policy advice from market-based policy to green industrial policy, including deployment subsidies and regulation.","author":[{"dropping-particle":"","family":"Meckling","given":"Jonas","non-dropping-particle":"","parse-names":false,"suffix":""},{"dropping-particle":"","family":"Allan","given":"Bentley B.","non-dropping-particle":"","parse-names":false,"suffix":""}],"container-title":"Nature Climate Change","id":"ITEM-1","issue":"5","issued":{"date-parts":[["2020"]]},"page":"434-438","publisher":"Springer US","title":"The evolution of ideas in global climate policy","type":"article-journal","volume":"10"},"uris":["http://www.mendeley.com/documents/?uuid=4ebd675f-72a9-46e3-b482-072105b5bbfe"]},{"id":"ITEM-2","itemData":{"DOI":"10.7910/DVN/AE0MKQ","abstract":"Ideas play an important role in policy change. Theories of policy change, including rational and bounded learning, bracket what needs to be explained: the creation of new ideas. We develop a theory of creative learning in international organizations (IOs). It posits that IO officials respond to new problems and state practices by creating novel concepts and policy ideas. New ideas help officials to manage multiple pressures in their organization's strategic situation. They enable officials to mediate principal demands while seeking to mobilize client states. We theorize three modes of creative learning that generate new ideas: conceptual combination, translation, and repurposing. Empirically, we explain a major change in global environmental policy: the rise of green growth ideas among major IOs, including the OECD, the UN, and the World Bank. Green growth ideas include new arguments drawn from Keynesian and Schumpeterian economics, which claim that environmental policies can drive economic growth. We show how these ideas were a creative response to the problem of climate change and emerging state interventions in support of clean energy. Our theory of creative learning applies beyond IOs to domestic politics and takes on added significance in times of transformative change that challenge the scripts of policymaking.","author":[{"dropping-particle":"","family":"Allan","given":"Bentley B","non-dropping-particle":"","parse-names":false,"suffix":""},{"dropping-particle":"","family":"Meckling","given":"Jonas O","non-dropping-particle":"","parse-names":false,"suffix":""}],"container-title":"Perspectives on Politics","id":"ITEM-2","issue":"2","issued":{"date-parts":[["2023"]]},"page":"443-461","title":"Creative Learning and Policy Ideas: The Global Rise of Green Growth","type":"article-journal","volume":"21"},"uris":["http://www.mendeley.com/documents/?uuid=e7670096-5773-3eef-a3ee-470189e54ae8"]},{"id":"ITEM-3","itemData":{"author":[{"dropping-particle":"","family":"Kuzemko","given":"Caroline","non-dropping-particle":"","parse-names":false,"suffix":""},{"dropping-particle":"","family":"Mitchell","given":"Catherine","non-dropping-particle":"","parse-names":false,"suffix":""}],"container-title":"Policy &amp; Politics","id":"ITEM-3","issue":"4","issued":{"date-parts":[["2014"]]},"page":"513-531","title":"Measuring and explaining policy paradigm change: the case of UK energy policy","type":"article-journal","volume":"42"},"uris":["http://www.mendeley.com/documents/?uuid=95af9df7-243d-4c3d-8731-7adc51bc6c16"]},{"id":"ITEM-4","itemData":{"DOI":"10.1080/14693062.2024.2441226","ISSN":"17527457","abstract":"This article analyses the IMF’s economic thinking on climate policy to explore the scope and limits of working towards green transition within global economic governance institutions. It distils the essence of and synthesizes core insights from the international political economy literature on the IMF as an actor in world politics, and on Fund ideational change, to inform how to make sense of their role within climate policy. Although a relative late-comer to tackling environmental crisis, in a key shift the Fund now sees climate change as ‘macro critical’. Examination of flagship publications and selected other IMF outputs delineates the evolving economic ideas underlying its climate policy approach which places enormous faith in market-based approaches, notably ‘efficient pricing’ to fully reflect the social and environmental cost of carbon. The Fund highlights environmental tipping points and the urgency of curbing fossil fuel use, advocating prompt and bold action (especially eradicating fossil fuel subsidization) to achieve the deep decarbonization of the world’s economies. The analysis thus unearths a widening repertoire of economic ideas, including greater catalysing role for the state and public power in green transition, creating internal tensions and some dissonance regarding appropriate climate policy. The IMF sets out ambitious reforms, yet its apolitical, technocratic worldview neglects the political power dynamics central to contemporary fossil-fuelled capitalism. These incumbent power relations, compounded by limited IMF traction, constitute significant impediments to tackling climate change. More fundamentally, this article identifies a decoupling between IMF recognition of the enormity of the climate emergency, and its relatively unchanging mindset and practices. All these factors, taken together, explain the contradictions and some discord within the Fund’s still predominantly market-based climate policy approach.","author":[{"dropping-particle":"","family":"Clift","given":"Ben","non-dropping-particle":"","parse-names":false,"suffix":""}],"container-title":"Climate Policy","id":"ITEM-4","issued":{"date-parts":[["2024"]]},"publisher":"Taylor and Francis Ltd.","title":"Global economic governance and environmental crisis: the widening repertoire of IMF economic ideas and limits of its climate policy advocacy","type":"article-journal"},"uris":["http://www.mendeley.com/documents/?uuid=7c1dc4b0-e754-34eb-ad9c-8e39867535a6"]}],"mendeley":{"formattedCitation":"(Allan &amp; Meckling, 2023; Clift, 2024; Kuzemko &amp; Mitchell, 2014; Meckling &amp; Allan, 2020)","plainTextFormattedCitation":"(Allan &amp; Meckling, 2023; Clift, 2024; Kuzemko &amp; Mitchell, 2014; Meckling &amp; Allan, 2020)","previouslyFormattedCitation":"(Allan and Meckling 2023; Clift 2024; Kuzemko and Mitchell 2014; Meckling and Allan 2020)"},"properties":{"noteIndex":0},"schema":"https://github.com/citation-style-language/schema/raw/master/csl-citation.json"}</w:instrText>
      </w:r>
      <w:r w:rsidRPr="00DE27E9">
        <w:fldChar w:fldCharType="separate"/>
      </w:r>
      <w:r w:rsidR="006208B4" w:rsidRPr="006208B4">
        <w:rPr>
          <w:noProof/>
        </w:rPr>
        <w:t>(Allan &amp; Meckling, 2023; Clift, 2024; Kuzemko &amp; Mitchell, 2014; Meckling &amp; Allan, 2020)</w:t>
      </w:r>
      <w:r w:rsidRPr="00DE27E9">
        <w:fldChar w:fldCharType="end"/>
      </w:r>
      <w:r w:rsidRPr="00DE27E9">
        <w:t xml:space="preserve">. Meckling and Allan </w:t>
      </w:r>
      <w:r w:rsidRPr="00DE27E9">
        <w:fldChar w:fldCharType="begin" w:fldLock="1"/>
      </w:r>
      <w:r w:rsidR="006208B4">
        <w:instrText>ADDIN CSL_CITATION {"citationItems":[{"id":"ITEM-1","itemData":{"DOI":"10.1038/s41558-020-0739-7","ISBN":"4155802007","ISSN":"17586798","abstract":"From carbon pricing to green industrial policy, economic ideas have shaped climate policy. Drawing on a new dataset of policy reports, we show how economic ideas influenced climate policy advice by major international organizations, including the Organisation for Economic Cooperation and Development and the World Bank, from 1990 to 2017. In the 1990s, the neoclassical notion of weak complementarity between environmental protection and growth dominated debates on sustainable development. In the mid-2000s, economic thought on the environment diversified, as the idea of strong complementarity between environmental protection and growth emerged in the green growth discourse. Adaptations of Schumpeterian and Keynesian economics identified investment in energy innovation and infrastructure as drivers of growth. We thus identify a major transformation from a neoclassical paradigm to a diversified policy discourse, suggesting that climate policy has entered a postparadigmatic period. The diversification of ideas broadened policy advice from market-based policy to green industrial policy, including deployment subsidies and regulation.","author":[{"dropping-particle":"","family":"Meckling","given":"Jonas","non-dropping-particle":"","parse-names":false,"suffix":""},{"dropping-particle":"","family":"Allan","given":"Bentley B.","non-dropping-particle":"","parse-names":false,"suffix":""}],"container-title":"Nature Climate Change","id":"ITEM-1","issue":"5","issued":{"date-parts":[["2020"]]},"page":"434-438","publisher":"Springer US","title":"The evolution of ideas in global climate policy","type":"article-journal","volume":"10"},"suppress-author":1,"uris":["http://www.mendeley.com/documents/?uuid=4ebd675f-72a9-46e3-b482-072105b5bbfe"]}],"mendeley":{"formattedCitation":"(2020)","plainTextFormattedCitation":"(2020)","previouslyFormattedCitation":"(2020)"},"properties":{"noteIndex":0},"schema":"https://github.com/citation-style-language/schema/raw/master/csl-citation.json"}</w:instrText>
      </w:r>
      <w:r w:rsidRPr="00DE27E9">
        <w:fldChar w:fldCharType="separate"/>
      </w:r>
      <w:r w:rsidRPr="00DE27E9">
        <w:rPr>
          <w:noProof/>
        </w:rPr>
        <w:t>(2020)</w:t>
      </w:r>
      <w:r w:rsidRPr="00DE27E9">
        <w:fldChar w:fldCharType="end"/>
      </w:r>
      <w:r w:rsidR="00B313F7">
        <w:t xml:space="preserve"> were the first to study</w:t>
      </w:r>
      <w:r w:rsidRPr="00DE27E9">
        <w:t xml:space="preserve"> </w:t>
      </w:r>
      <w:r w:rsidR="00B313F7">
        <w:t xml:space="preserve">the </w:t>
      </w:r>
      <w:r w:rsidRPr="00DE27E9">
        <w:t xml:space="preserve">climate policy </w:t>
      </w:r>
      <w:r w:rsidR="00B313F7">
        <w:t xml:space="preserve">paradigms of </w:t>
      </w:r>
      <w:r w:rsidR="00890ED7">
        <w:t xml:space="preserve">multiple </w:t>
      </w:r>
      <w:r w:rsidRPr="00DE27E9">
        <w:t>international organisations</w:t>
      </w:r>
      <w:r w:rsidR="008C0C3C">
        <w:t>,</w:t>
      </w:r>
      <w:r w:rsidR="00890ED7" w:rsidRPr="00322ECE">
        <w:rPr>
          <w:rStyle w:val="FootnoteReference"/>
        </w:rPr>
        <w:footnoteReference w:id="1"/>
      </w:r>
      <w:r w:rsidR="008C0C3C">
        <w:t xml:space="preserve"> based on hand-coding a corpus of </w:t>
      </w:r>
      <w:r w:rsidR="00890ED7">
        <w:t>policy documents</w:t>
      </w:r>
      <w:r w:rsidR="00BD09A2">
        <w:t xml:space="preserve"> produced by the organisations</w:t>
      </w:r>
      <w:r w:rsidRPr="00DE27E9">
        <w:t xml:space="preserve">. They document a transition from a dominant </w:t>
      </w:r>
      <w:r w:rsidRPr="00DE27E9">
        <w:rPr>
          <w:i/>
          <w:iCs/>
        </w:rPr>
        <w:t xml:space="preserve">neoclassical </w:t>
      </w:r>
      <w:r w:rsidRPr="00DE27E9">
        <w:t xml:space="preserve">paradigm in the 1990s and early 2000s to a more pluralistic policy discourse from the mid-2000s in which neoclassical-paradigmatic discourse is mixed with “green growth” approaches that reflect the influence of </w:t>
      </w:r>
      <w:r w:rsidRPr="00DE27E9">
        <w:rPr>
          <w:i/>
          <w:iCs/>
        </w:rPr>
        <w:t>Green Keynesian</w:t>
      </w:r>
      <w:r w:rsidRPr="00DE27E9">
        <w:t xml:space="preserve"> and </w:t>
      </w:r>
      <w:r w:rsidRPr="00DE27E9">
        <w:rPr>
          <w:i/>
          <w:iCs/>
        </w:rPr>
        <w:t xml:space="preserve">evolutionary-economic </w:t>
      </w:r>
      <w:r w:rsidRPr="00DE27E9">
        <w:t xml:space="preserve">(or “neo-Schumpeterian”) paradigms </w:t>
      </w:r>
      <w:r w:rsidRPr="00DE27E9">
        <w:fldChar w:fldCharType="begin" w:fldLock="1"/>
      </w:r>
      <w:r w:rsidR="006208B4">
        <w:instrText>ADDIN CSL_CITATION {"citationItems":[{"id":"ITEM-1","itemData":{"DOI":"10.1038/s41558-020-0739-7","ISBN":"4155802007","ISSN":"17586798","abstract":"From carbon pricing to green industrial policy, economic ideas have shaped climate policy. Drawing on a new dataset of policy reports, we show how economic ideas influenced climate policy advice by major international organizations, including the Organisation for Economic Cooperation and Development and the World Bank, from 1990 to 2017. In the 1990s, the neoclassical notion of weak complementarity between environmental protection and growth dominated debates on sustainable development. In the mid-2000s, economic thought on the environment diversified, as the idea of strong complementarity between environmental protection and growth emerged in the green growth discourse. Adaptations of Schumpeterian and Keynesian economics identified investment in energy innovation and infrastructure as drivers of growth. We thus identify a major transformation from a neoclassical paradigm to a diversified policy discourse, suggesting that climate policy has entered a postparadigmatic period. The diversification of ideas broadened policy advice from market-based policy to green industrial policy, including deployment subsidies and regulation.","author":[{"dropping-particle":"","family":"Meckling","given":"Jonas","non-dropping-particle":"","parse-names":false,"suffix":""},{"dropping-particle":"","family":"Allan","given":"Bentley B.","non-dropping-particle":"","parse-names":false,"suffix":""}],"container-title":"Nature Climate Change","id":"ITEM-1","issue":"5","issued":{"date-parts":[["2020"]]},"page":"434-438","publisher":"Springer US","title":"The evolution of ideas in global climate policy","type":"article-journal","volume":"10"},"uris":["http://www.mendeley.com/documents/?uuid=4ebd675f-72a9-46e3-b482-072105b5bbfe"]}],"mendeley":{"formattedCitation":"(Meckling &amp; Allan, 2020)","plainTextFormattedCitation":"(Meckling &amp; Allan, 2020)","previouslyFormattedCitation":"(Meckling and Allan 2020)"},"properties":{"noteIndex":0},"schema":"https://github.com/citation-style-language/schema/raw/master/csl-citation.json"}</w:instrText>
      </w:r>
      <w:r w:rsidRPr="00DE27E9">
        <w:fldChar w:fldCharType="separate"/>
      </w:r>
      <w:r w:rsidR="006208B4" w:rsidRPr="006208B4">
        <w:rPr>
          <w:noProof/>
        </w:rPr>
        <w:t>(Meckling &amp; Allan, 2020)</w:t>
      </w:r>
      <w:r w:rsidRPr="00DE27E9">
        <w:fldChar w:fldCharType="end"/>
      </w:r>
      <w:r w:rsidRPr="00DE27E9">
        <w:t xml:space="preserve">. Clift </w:t>
      </w:r>
      <w:r w:rsidRPr="00DE27E9">
        <w:fldChar w:fldCharType="begin" w:fldLock="1"/>
      </w:r>
      <w:r w:rsidRPr="00DE27E9">
        <w:instrText>ADDIN CSL_CITATION {"citationItems":[{"id":"ITEM-1","itemData":{"DOI":"10.1080/14693062.2024.2441226","ISSN":"17527457","abstract":"This article analyses the IMF’s economic thinking on climate policy to explore the scope and limits of working towards green transition within global economic governance institutions. It distils the essence of and synthesizes core insights from the international political economy literature on the IMF as an actor in world politics, and on Fund ideational change, to inform how to make sense of their role within climate policy. Although a relative late-comer to tackling environmental crisis, in a key shift the Fund now sees climate change as ‘macro critical’. Examination of flagship publications and selected other IMF outputs delineates the evolving economic ideas underlying its climate policy approach which places enormous faith in market-based approaches, notably ‘efficient pricing’ to fully reflect the social and environmental cost of carbon. The Fund highlights environmental tipping points and the urgency of curbing fossil fuel use, advocating prompt and bold action (especially eradicating fossil fuel subsidization) to achieve the deep decarbonization of the world’s economies. The analysis thus unearths a widening repertoire of economic ideas, including greater catalysing role for the state and public power in green transition, creating internal tensions and some dissonance regarding appropriate climate policy. The IMF sets out ambitious reforms, yet its apolitical, technocratic worldview neglects the political power dynamics central to contemporary fossil-fuelled capitalism. These incumbent power relations, compounded by limited IMF traction, constitute significant impediments to tackling climate change. More fundamentally, this article identifies a decoupling between IMF recognition of the enormity of the climate emergency, and its relatively unchanging mindset and practices. All these factors, taken together, explain the contradictions and some discord within the Fund’s still predominantly market-based climate policy approach.","author":[{"dropping-particle":"","family":"Clift","given":"Ben","non-dropping-particle":"","parse-names":false,"suffix":""}],"container-title":"Climate Policy","id":"ITEM-1","issued":{"date-parts":[["2024"]]},"publisher":"Taylor and Francis Ltd.","title":"Global economic governance and environmental crisis: the widening repertoire of IMF economic ideas and limits of its climate policy advocacy","type":"article-journal"},"suppress-author":1,"uris":["http://www.mendeley.com/documents/?uuid=7c1dc4b0-e754-34eb-ad9c-8e39867535a6"]}],"mendeley":{"formattedCitation":"(2024)","plainTextFormattedCitation":"(2024)","previouslyFormattedCitation":"(2024)"},"properties":{"noteIndex":0},"schema":"https://github.com/citation-style-language/schema/raw/master/csl-citation.json"}</w:instrText>
      </w:r>
      <w:r w:rsidRPr="00DE27E9">
        <w:fldChar w:fldCharType="separate"/>
      </w:r>
      <w:r w:rsidRPr="00DE27E9">
        <w:rPr>
          <w:noProof/>
        </w:rPr>
        <w:t>(2024)</w:t>
      </w:r>
      <w:r w:rsidRPr="00DE27E9">
        <w:fldChar w:fldCharType="end"/>
      </w:r>
      <w:r w:rsidRPr="00DE27E9">
        <w:t xml:space="preserve"> delves more deeply into the evolution of economic ideas in the climate work of the International Monetary Fund (IMF), revealing a tension between the organisation’s dominant neoclassical paradigm (emphasising state neutrality regarding technology pathways, and market mechanisms) and increasing recognition of the importance of the state in driving energy transitions (e.g., through green industrial policy and public investment). </w:t>
      </w:r>
      <w:r w:rsidRPr="00DE27E9">
        <w:rPr>
          <w:noProof/>
        </w:rPr>
        <w:t xml:space="preserve">Allan and Meckling </w:t>
      </w:r>
      <w:r w:rsidRPr="00DE27E9">
        <w:rPr>
          <w:noProof/>
        </w:rPr>
        <w:fldChar w:fldCharType="begin" w:fldLock="1"/>
      </w:r>
      <w:r w:rsidRPr="00DE27E9">
        <w:rPr>
          <w:noProof/>
        </w:rPr>
        <w:instrText>ADDIN CSL_CITATION {"citationItems":[{"id":"ITEM-1","itemData":{"DOI":"10.7910/DVN/AE0MKQ","abstract":"Ideas play an important role in policy change. Theories of policy change, including rational and bounded learning, bracket what needs to be explained: the creation of new ideas. We develop a theory of creative learning in international organizations (IOs). It posits that IO officials respond to new problems and state practices by creating novel concepts and policy ideas. New ideas help officials to manage multiple pressures in their organization's strategic situation. They enable officials to mediate principal demands while seeking to mobilize client states. We theorize three modes of creative learning that generate new ideas: conceptual combination, translation, and repurposing. Empirically, we explain a major change in global environmental policy: the rise of green growth ideas among major IOs, including the OECD, the UN, and the World Bank. Green growth ideas include new arguments drawn from Keynesian and Schumpeterian economics, which claim that environmental policies can drive economic growth. We show how these ideas were a creative response to the problem of climate change and emerging state interventions in support of clean energy. Our theory of creative learning applies beyond IOs to domestic politics and takes on added significance in times of transformative change that challenge the scripts of policymaking.","author":[{"dropping-particle":"","family":"Allan","given":"Bentley B","non-dropping-particle":"","parse-names":false,"suffix":""},{"dropping-particle":"","family":"Meckling","given":"Jonas O","non-dropping-particle":"","parse-names":false,"suffix":""}],"container-title":"Perspectives on Politics","id":"ITEM-1","issue":"2","issued":{"date-parts":[["2023"]]},"page":"443-461","title":"Creative Learning and Policy Ideas: The Global Rise of Green Growth","type":"article-journal","volume":"21"},"suppress-author":1,"uris":["http://www.mendeley.com/documents/?uuid=e7670096-5773-3eef-a3ee-470189e54ae8"]}],"mendeley":{"formattedCitation":"(2023)","plainTextFormattedCitation":"(2023)","previouslyFormattedCitation":"(2023)"},"properties":{"noteIndex":0},"schema":"https://github.com/citation-style-language/schema/raw/master/csl-citation.json"}</w:instrText>
      </w:r>
      <w:r w:rsidRPr="00DE27E9">
        <w:rPr>
          <w:noProof/>
        </w:rPr>
        <w:fldChar w:fldCharType="separate"/>
      </w:r>
      <w:r w:rsidRPr="00DE27E9">
        <w:rPr>
          <w:noProof/>
        </w:rPr>
        <w:t>(2023)</w:t>
      </w:r>
      <w:r w:rsidRPr="00DE27E9">
        <w:rPr>
          <w:noProof/>
        </w:rPr>
        <w:fldChar w:fldCharType="end"/>
      </w:r>
      <w:r w:rsidRPr="00DE27E9">
        <w:rPr>
          <w:noProof/>
        </w:rPr>
        <w:t xml:space="preserve"> and Kuzemko and Mitchell </w:t>
      </w:r>
      <w:r w:rsidRPr="00DE27E9">
        <w:rPr>
          <w:noProof/>
        </w:rPr>
        <w:fldChar w:fldCharType="begin" w:fldLock="1"/>
      </w:r>
      <w:r w:rsidRPr="00DE27E9">
        <w:rPr>
          <w:noProof/>
        </w:rPr>
        <w:instrText>ADDIN CSL_CITATION {"citationItems":[{"id":"ITEM-1","itemData":{"author":[{"dropping-particle":"","family":"Kuzemko","given":"Caroline","non-dropping-particle":"","parse-names":false,"suffix":""},{"dropping-particle":"","family":"Mitchell","given":"Catherine","non-dropping-particle":"","parse-names":false,"suffix":""}],"container-title":"Policy &amp; Politics","id":"ITEM-1","issue":"4","issued":{"date-parts":[["2014"]]},"page":"513-531","title":"Measuring and explaining policy paradigm change: the case of UK energy policy","type":"article-journal","volume":"42"},"suppress-author":1,"uris":["http://www.mendeley.com/documents/?uuid=95af9df7-243d-4c3d-8731-7adc51bc6c16"]}],"mendeley":{"formattedCitation":"(2014)","plainTextFormattedCitation":"(2014)","previouslyFormattedCitation":"(2014)"},"properties":{"noteIndex":0},"schema":"https://github.com/citation-style-language/schema/raw/master/csl-citation.json"}</w:instrText>
      </w:r>
      <w:r w:rsidRPr="00DE27E9">
        <w:rPr>
          <w:noProof/>
        </w:rPr>
        <w:fldChar w:fldCharType="separate"/>
      </w:r>
      <w:r w:rsidRPr="00DE27E9">
        <w:rPr>
          <w:noProof/>
        </w:rPr>
        <w:t>(2014)</w:t>
      </w:r>
      <w:r w:rsidRPr="00DE27E9">
        <w:rPr>
          <w:noProof/>
        </w:rPr>
        <w:fldChar w:fldCharType="end"/>
      </w:r>
      <w:r w:rsidRPr="00DE27E9">
        <w:rPr>
          <w:noProof/>
        </w:rPr>
        <w:t xml:space="preserve"> focus on the processes by which policy paradigms shift within particular international organisations </w:t>
      </w:r>
      <w:r w:rsidR="002504C0">
        <w:rPr>
          <w:noProof/>
        </w:rPr>
        <w:t>and</w:t>
      </w:r>
      <w:r w:rsidRPr="00DE27E9">
        <w:rPr>
          <w:noProof/>
        </w:rPr>
        <w:t xml:space="preserve"> a national government, respectively. </w:t>
      </w:r>
    </w:p>
    <w:p w14:paraId="20DE129C" w14:textId="5DAB1CA6" w:rsidR="00DE27E9" w:rsidRPr="00DE27E9" w:rsidRDefault="00DE27E9" w:rsidP="00DE27E9">
      <w:r w:rsidRPr="00DE27E9">
        <w:t xml:space="preserve">The three above-mentioned paradigms (neoclassical, Green Keynesian, and evolutionary-economic) all share a sense that economic and environmental tensions are fundamentally resolvable through elite-dominated processes of technical change, and in this sense can be considered members of a larger family of “ecological modernisation” theories </w:t>
      </w:r>
      <w:r w:rsidRPr="00DE27E9">
        <w:fldChar w:fldCharType="begin" w:fldLock="1"/>
      </w:r>
      <w:r w:rsidR="006208B4">
        <w:instrText>ADDIN CSL_CITATION {"citationItems":[{"id":"ITEM-1","itemData":{"author":[{"dropping-particle":"","family":"Hajer","given":"Maarten A.","non-dropping-particle":"","parse-names":false,"suffix":""}],"id":"ITEM-1","issued":{"date-parts":[["1995"]]},"publisher":"Oxford University Press","publisher-place":"Oxford","title":"The politics of environmental discourse: Ecological modernization and the policy process","type":"book"},"uris":["http://www.mendeley.com/documents/?uuid=af62203b-e4b1-4730-92b4-460b4d1f47b6"]},{"id":"ITEM-2","itemData":{"author":[{"dropping-particle":"","family":"Murphy","given":"Joseph","non-dropping-particle":"","parse-names":false,"suffix":""},{"dropping-particle":"","family":"Gouldson","given":"Andy","non-dropping-particle":"","parse-names":false,"suffix":""}],"container-title":"Geoforum","id":"ITEM-2","issue":"1","issued":{"date-parts":[["2000"]]},"page":"33-44","title":"Integrating environment and economy through ecological modernisation? An assessment of the impact of environmental policy on industrial innovation","type":"article-journal","volume":"31"},"uris":["http://www.mendeley.com/documents/?uuid=4f05a151-43f9-4410-9652-a88e63358055"]}],"mendeley":{"formattedCitation":"(Hajer, 1995; Murphy &amp; Gouldson, 2000)","plainTextFormattedCitation":"(Hajer, 1995; Murphy &amp; Gouldson, 2000)","previouslyFormattedCitation":"(Hajer 1995; Murphy and Gouldson 2000)"},"properties":{"noteIndex":0},"schema":"https://github.com/citation-style-language/schema/raw/master/csl-citation.json"}</w:instrText>
      </w:r>
      <w:r w:rsidRPr="00DE27E9">
        <w:fldChar w:fldCharType="separate"/>
      </w:r>
      <w:r w:rsidR="006208B4" w:rsidRPr="006208B4">
        <w:rPr>
          <w:noProof/>
        </w:rPr>
        <w:t>(Hajer, 1995; Murphy &amp; Gouldson, 2000)</w:t>
      </w:r>
      <w:r w:rsidRPr="00DE27E9">
        <w:fldChar w:fldCharType="end"/>
      </w:r>
      <w:r w:rsidRPr="00DE27E9">
        <w:t xml:space="preserve">. By contrast, a range of economic ideas and strategies falling under the banner of </w:t>
      </w:r>
      <w:r w:rsidRPr="00DE27E9">
        <w:rPr>
          <w:i/>
          <w:iCs/>
        </w:rPr>
        <w:t>post-growth</w:t>
      </w:r>
      <w:r w:rsidRPr="00DE27E9">
        <w:t xml:space="preserve">—encompassing both “degrowth” </w:t>
      </w:r>
      <w:r w:rsidRPr="00DE27E9">
        <w:fldChar w:fldCharType="begin" w:fldLock="1"/>
      </w:r>
      <w:r w:rsidR="006208B4">
        <w:instrText>ADDIN CSL_CITATION {"citationItems":[{"id":"ITEM-1","itemData":{"DOI":"10.1146/annurev-environ-102017-025941","ISSN":"15435938","abstract":"Scholars and activists mobilize increasingly the term degrowth when producing knowledge critical of the ideology and costs of growth-based development. Degrowth signals a radical political and economic reorganization leading to reduced resource and energy use. The degrowth hypothesis posits that such a trajectory of social transformation is necessary, desirable, and possible; the conditions of its realization require additional study. Research on degrowth has reinvigorated the limits to growth debate with critical examination of the historical, cultural, social, and political forces that have made economic growth a dominant objective. Here we review studies of economic stability in the absence of growth and of societies that have managed well without growth. We reflect on forms of technology and democracy com-patible with degrowth and discuss plausible openings for a degrowth transition. This dynamic and productive research agenda asks inconvenient questions that sustainability sciences can no longer afford to ignore.","author":[{"dropping-particle":"","family":"Kallis","given":"Giorgos","non-dropping-particle":"","parse-names":false,"suffix":""},{"dropping-particle":"","family":"Kostakis","given":"Vasilis","non-dropping-particle":"","parse-names":false,"suffix":""},{"dropping-particle":"","family":"Lange","given":"Steffen","non-dropping-particle":"","parse-names":false,"suffix":""},{"dropping-particle":"","family":"Muraca","given":"Barbara","non-dropping-particle":"","parse-names":false,"suffix":""},{"dropping-particle":"","family":"Paulson","given":"Susan","non-dropping-particle":"","parse-names":false,"suffix":""},{"dropping-particle":"","family":"Schmelzer","given":"Matthias","non-dropping-particle":"","parse-names":false,"suffix":""}],"container-title":"Annual Review of Environment and Resources","id":"ITEM-1","issued":{"date-parts":[["2018"]]},"page":"291-316","title":"Research on Degrowth","type":"article-journal","volume":"43"},"uris":["http://www.mendeley.com/documents/?uuid=5f7a903e-961f-459d-9ebd-6a60da095d02"]}],"mendeley":{"formattedCitation":"(Kallis et al., 2018)","plainTextFormattedCitation":"(Kallis et al., 2018)","previouslyFormattedCitation":"(Kallis et al. 2018)"},"properties":{"noteIndex":0},"schema":"https://github.com/citation-style-language/schema/raw/master/csl-citation.json"}</w:instrText>
      </w:r>
      <w:r w:rsidRPr="00DE27E9">
        <w:fldChar w:fldCharType="separate"/>
      </w:r>
      <w:r w:rsidR="006208B4" w:rsidRPr="006208B4">
        <w:rPr>
          <w:noProof/>
        </w:rPr>
        <w:t>(Kallis et al., 2018)</w:t>
      </w:r>
      <w:r w:rsidRPr="00DE27E9">
        <w:fldChar w:fldCharType="end"/>
      </w:r>
      <w:r w:rsidRPr="00DE27E9">
        <w:t xml:space="preserve"> and “a-growth”</w:t>
      </w:r>
      <w:r w:rsidR="00E85CFA">
        <w:t xml:space="preserve"> / growth-agnosticism</w:t>
      </w:r>
      <w:r w:rsidRPr="00DE27E9">
        <w:t xml:space="preserve"> </w:t>
      </w:r>
      <w:r w:rsidRPr="00DE27E9">
        <w:fldChar w:fldCharType="begin" w:fldLock="1"/>
      </w:r>
      <w:r w:rsidR="006208B4">
        <w:instrText>ADDIN CSL_CITATION {"citationItems":[{"id":"ITEM-1","itemData":{"DOI":"10.1016/j.ecolecon.2010.09.035","ISSN":"09218009","abstract":"In recent debates on environmental problems and policies, the strategy of \"degrowth\" has appeared as an alternative to the paradigm of economic growth. This new notion is critically evaluated by considering five common interpretations of it. One conclusion is that these multiple interpretations make it an ambiguous and rather confusing concept. Another is that degrowth may not be an effective, let alone an efficient strategy to reduce environmental pressure. It is subsequently argued that \"a-growth,\" i.e. being indifferent about growth, is a more logical social aim to substitute for the current goal of economic growth, given that GDP (per capita) is a very imperfect indicator of social welfare. In addition, focusing ex ante on public policy is considered to be a strategy which ultimately is more likely to obtain the necessary democratic-political support than an ex ante, explicit degrowth strategy. In line with this, a policy package is proposed which consists of six elements, some of which relate to concerns raised by degrowth supporters. © 2010 Elsevier B.V.","author":[{"dropping-particle":"","family":"Bergh","given":"Jeroen C.J.M.","non-dropping-particle":"Van den","parse-names":false,"suffix":""}],"container-title":"Ecological Economics","id":"ITEM-1","issue":"5","issued":{"date-parts":[["2011"]]},"page":"881-890","publisher":"Elsevier B.V.","title":"Environment versus growth - A criticism of \"degrowth\" and a plea for \"a-growth\"","type":"article-journal","volume":"70"},"uris":["http://www.mendeley.com/documents/?uuid=8a7cb420-933b-3988-92f0-ff298bff0195"]}],"mendeley":{"formattedCitation":"(Van den Bergh, 2011)","plainTextFormattedCitation":"(Van den Bergh, 2011)","previouslyFormattedCitation":"(Van den Bergh 2011)"},"properties":{"noteIndex":0},"schema":"https://github.com/citation-style-language/schema/raw/master/csl-citation.json"}</w:instrText>
      </w:r>
      <w:r w:rsidRPr="00DE27E9">
        <w:fldChar w:fldCharType="separate"/>
      </w:r>
      <w:r w:rsidR="006208B4" w:rsidRPr="006208B4">
        <w:rPr>
          <w:noProof/>
        </w:rPr>
        <w:t>(Van den Bergh, 2011)</w:t>
      </w:r>
      <w:r w:rsidRPr="00DE27E9">
        <w:fldChar w:fldCharType="end"/>
      </w:r>
      <w:r w:rsidRPr="00DE27E9">
        <w:t>—has been advanced through both grassroots activism and academic scholarship, especially within the field of ecological economics</w:t>
      </w:r>
      <w:r w:rsidRPr="00322ECE">
        <w:rPr>
          <w:rStyle w:val="FootnoteReference"/>
        </w:rPr>
        <w:footnoteReference w:id="2"/>
      </w:r>
      <w:r w:rsidRPr="00DE27E9">
        <w:t xml:space="preserve"> </w:t>
      </w:r>
      <w:r w:rsidRPr="00DE27E9">
        <w:fldChar w:fldCharType="begin" w:fldLock="1"/>
      </w:r>
      <w:r w:rsidR="006208B4">
        <w:instrText>ADDIN CSL_CITATION {"citationItems":[{"id":"ITEM-1","itemData":{"DOI":"10.1177/1024529420987528","ISSN":"14772221","abstract":"Competing ecopolitical projects seek to deliver answers to one of the most central questions of our time: how can the escalating climate crisis be halted? The paper asks how we may meaningfully compare ecopolitical projects that originate in fundamentally different conceptions of the type of change necessary to reach a sustainable organization of society? Using Peter Hall's paradigm approach as a starting point, the paper employs extant political economy scholarship to develop a framework that sets out four key dimensions that work as points of comparison between ecopolitical projects. The framework is applied in a comparison of the competing ecopolitical projects of green growth and degrowth to elucidate the ways in which these projects differ profoundly in terms of the extensiveness of change they envision, the actors they consider pivotal for sustainability transitions, their scientific basis and their distributional consequences.","author":[{"dropping-particle":"","family":"Buch-Hansen","given":"Hubert","non-dropping-particle":"","parse-names":false,"suffix":""},{"dropping-particle":"","family":"Carstensen","given":"Martin B.","non-dropping-particle":"","parse-names":false,"suffix":""}],"container-title":"Competition and Change","id":"ITEM-1","issue":"3-4","issued":{"date-parts":[["2021"]]},"page":"308-327","title":"Paradigms and the political economy of ecopolitical projects: Green growth and degrowth compared","type":"article-journal","volume":"25"},"uris":["http://www.mendeley.com/documents/?uuid=a3ac546a-4ed9-4de9-87b7-13a717a46223"]}],"mendeley":{"formattedCitation":"(Buch-Hansen &amp; Carstensen, 2021)","plainTextFormattedCitation":"(Buch-Hansen &amp; Carstensen, 2021)","previouslyFormattedCitation":"(Buch-Hansen and Carstensen 2021)"},"properties":{"noteIndex":0},"schema":"https://github.com/citation-style-language/schema/raw/master/csl-citation.json"}</w:instrText>
      </w:r>
      <w:r w:rsidRPr="00DE27E9">
        <w:fldChar w:fldCharType="separate"/>
      </w:r>
      <w:r w:rsidR="006208B4" w:rsidRPr="006208B4">
        <w:rPr>
          <w:noProof/>
        </w:rPr>
        <w:t>(Buch-Hansen &amp; Carstensen, 2021)</w:t>
      </w:r>
      <w:r w:rsidRPr="00DE27E9">
        <w:fldChar w:fldCharType="end"/>
      </w:r>
      <w:r w:rsidRPr="00DE27E9">
        <w:t xml:space="preserve">. Post-growth thinking—a fourth paradigm—reflects a belief in the planet’s finite carrying capacity, which implies material “limits to growth” </w:t>
      </w:r>
      <w:r w:rsidRPr="00DE27E9">
        <w:fldChar w:fldCharType="begin" w:fldLock="1"/>
      </w:r>
      <w:r w:rsidR="006208B4">
        <w:instrText>ADDIN CSL_CITATION {"citationItems":[{"id":"ITEM-1","itemData":{"author":[{"dropping-particle":"","family":"Meadows","given":"Donella","non-dropping-particle":"","parse-names":false,"suffix":""},{"dropping-particle":"","family":"Meadows","given":"Dennis","non-dropping-particle":"","parse-names":false,"suffix":""},{"dropping-particle":"","family":"Randers","given":"Jørgen","non-dropping-particle":"","parse-names":false,"suffix":""},{"dropping-particle":"","family":"Beerens III","given":"William","non-dropping-particle":"","parse-names":false,"suffix":""}],"id":"ITEM-1","issued":{"date-parts":[["1974"]]},"publisher":"Pan","publisher-place":"London","title":"The Limits to Growth","type":"book"},"uris":["http://www.mendeley.com/documents/?uuid=180c7af6-29cf-4ada-96ba-1a516866615f"]}],"mendeley":{"formattedCitation":"(Meadows et al., 1974)","plainTextFormattedCitation":"(Meadows et al., 1974)","previouslyFormattedCitation":"(Meadows et al. 1974)"},"properties":{"noteIndex":0},"schema":"https://github.com/citation-style-language/schema/raw/master/csl-citation.json"}</w:instrText>
      </w:r>
      <w:r w:rsidRPr="00DE27E9">
        <w:fldChar w:fldCharType="separate"/>
      </w:r>
      <w:r w:rsidR="006208B4" w:rsidRPr="006208B4">
        <w:rPr>
          <w:noProof/>
        </w:rPr>
        <w:t>(Meadows et al., 1974)</w:t>
      </w:r>
      <w:r w:rsidRPr="00DE27E9">
        <w:fldChar w:fldCharType="end"/>
      </w:r>
      <w:r w:rsidRPr="00DE27E9">
        <w:t xml:space="preserve"> or “planetary boundaries” </w:t>
      </w:r>
      <w:r w:rsidRPr="00DE27E9">
        <w:fldChar w:fldCharType="begin" w:fldLock="1"/>
      </w:r>
      <w:r w:rsidR="006208B4">
        <w:instrText>ADDIN CSL_CITATION {"citationItems":[{"id":"ITEM-1","itemData":{"DOI":"10.1126/science.1259855","author":[{"dropping-particle":"","family":"Steffen","given":"Will","non-dropping-particle":"","parse-names":false,"suffix":""},{"dropping-particle":"","family":"Richardson","given":"Katherine","non-dropping-particle":"","parse-names":false,"suffix":""},{"dropping-particle":"","family":"Rockström","given":"Johan","non-dropping-particle":"","parse-names":false,"suffix":""},{"dropping-particle":"","family":"Cornell","given":"Sarah E.","non-dropping-particle":"","parse-names":false,"suffix":""},{"dropping-particle":"","family":"Fetzer","given":"Ingo","non-dropping-particle":"","parse-names":false,"suffix":""},{"dropping-particle":"","family":"Bennett","given":"Elena M.","non-dropping-particle":"","parse-names":false,"suffix":""},{"dropping-particle":"","family":"Biggs","given":"Reinette","non-dropping-particle":"","parse-names":false,"suffix":""},{"dropping-particle":"","family":"Carpenter","given":"Stephen R.","non-dropping-particle":"","parse-names":false,"suffix":""},{"dropping-particle":"","family":"Vries","given":"Wim","non-dropping-particle":"de","parse-names":false,"suffix":""},{"dropping-particle":"","family":"Wit","given":"Cynthia A.","non-dropping-particle":"de","parse-names":false,"suffix":""},{"dropping-particle":"","family":"Folke","given":"Carl","non-dropping-particle":"","parse-names":false,"suffix":""},{"dropping-particle":"","family":"Gerten","given":"Dieter","non-dropping-particle":"","parse-names":false,"suffix":""},{"dropping-particle":"","family":"Heinke","given":"Jens","non-dropping-particle":"","parse-names":false,"suffix":""},{"dropping-particle":"","family":"Mace","given":"Georgina M.","non-dropping-particle":"","parse-names":false,"suffix":""},{"dropping-particle":"","family":"Persson","given":"Linn M.","non-dropping-particle":"","parse-names":false,"suffix":""},{"dropping-particle":"","family":"Ramanathan","given":"Veerabhadran","non-dropping-particle":"","parse-names":false,"suffix":""},{"dropping-particle":"","family":"Reyers","given":"Belinda","non-dropping-particle":"","parse-names":false,"suffix":""},{"dropping-particle":"","family":"Sörlin","given":"Sverker","non-dropping-particle":"","parse-names":false,"suffix":""}],"container-title":"Science","id":"ITEM-1","issue":"6223","issued":{"date-parts":[["2015"]]},"page":"n.1259855","title":"Planetary boundaries: Guiding human development on a changing planet","type":"article-journal","volume":"347"},"uris":["http://www.mendeley.com/documents/?uuid=29482618-1a4b-4e5c-a91e-f7349c6834e9"]},{"id":"ITEM-2","itemData":{"author":[{"dropping-particle":"","family":"Rockström","given":"Johan","non-dropping-particle":"","parse-names":false,"suffix":""},{"dropping-particle":"","family":"Steffen","given":"Will","non-dropping-particle":"","parse-names":false,"suffix":""},{"dropping-particle":"","family":"Noone","given":"Kevin","non-dropping-particle":"","parse-names":false,"suffix":""},{"dropping-particle":"","family":"Persson","given":"Åsa","non-dropping-particle":"","parse-names":false,"suffix":""},{"dropping-particle":"","family":"Chapin III","given":"F. Stuart","non-dropping-particle":"","parse-names":false,"suffix":""},{"dropping-particle":"","family":"Lambin","given":"Eric F.","non-dropping-particle":"","parse-names":false,"suffix":""},{"dropping-particle":"","family":"Lenton","given":"Timothy M.","non-dropping-particle":"","parse-names":false,"suffix":""},{"dropping-particle":"","family":"Scheffer","given":"Marten","non-dropping-particle":"","parse-names":false,"suffix":""},{"dropping-particle":"","family":"Folke","given":"Carl","non-dropping-particle":"","parse-names":false,"suffix":""},{"dropping-particle":"","family":"Schellnhuber","given":"Hans Joachim","non-dropping-particle":"","parse-names":false,"suffix":""},{"dropping-particle":"","family":"Nykvist","given":"Björn","non-dropping-particle":"","parse-names":false,"suffix":""},{"dropping-particle":"","family":"Wit","given":"Cynthia A.","non-dropping-particle":"De","parse-names":false,"suffix":""},{"dropping-particle":"","family":"Hughes","given":"Terry","non-dropping-particle":"","parse-names":false,"suffix":""},{"dropping-particle":"","family":"Leeuw","given":"Sander","non-dropping-particle":"van der","parse-names":false,"suffix":""},{"dropping-particle":"","family":"Rodhe","given":"Henning","non-dropping-particle":"","parse-names":false,"suffix":""},{"dropping-particle":"","family":"Sörlin","given":"Sverker","non-dropping-particle":"","parse-names":false,"suffix":""},{"dropping-particle":"","family":"Snyder","given":"Peter K.","non-dropping-particle":"","parse-names":false,"suffix":""},{"dropping-particle":"","family":"Costanza","given":"Robert","non-dropping-particle":"","parse-names":false,"suffix":""},{"dropping-particle":"","family":"Svedin","given":"Uno","non-dropping-particle":"","parse-names":false,"suffix":""},{"dropping-particle":"","family":"Falkenmark","given":"Malin","non-dropping-particle":"","parse-names":false,"suffix":""},{"dropping-particle":"","family":"Karlberg","given":"Louise","non-dropping-particle":"","parse-names":false,"suffix":""},{"dropping-particle":"","family":"Corell","given":"Robert W.","non-dropping-particle":"","parse-names":false,"suffix":""},{"dropping-particle":"","family":"Fabry","given":"Victoria J.","non-dropping-particle":"","parse-names":false,"suffix":""},{"dropping-particle":"","family":"Hansen","given":"James","non-dropping-particle":"","parse-names":false,"suffix":""},{"dropping-particle":"","family":"Walker","given":"Brian","non-dropping-particle":"","parse-names":false,"suffix":""},{"dropping-particle":"","family":"Liverman","given":"Diana","non-dropping-particle":"","parse-names":false,"suffix":""},{"dropping-particle":"","family":"Richardson","given":"Katherine","non-dropping-particle":"","parse-names":false,"suffix":""},{"dropping-particle":"","family":"Crutzen","given":"Paul","non-dropping-particle":"","parse-names":false,"suffix":""},{"dropping-particle":"","family":"Foley","given":"Jonathan A.","non-dropping-particle":"","parse-names":false,"suffix":""}],"container-title":"Nature","id":"ITEM-2","issued":{"date-parts":[["2009"]]},"page":"472-475","title":"A safe operating space for humanity","type":"article-journal","volume":"461"},"uris":["http://www.mendeley.com/documents/?uuid=8fcee72e-e753-4ecc-b61e-e5bcac92c709"]}],"mendeley":{"formattedCitation":"(Rockström et al., 2009; Steffen et al., 2015)","plainTextFormattedCitation":"(Rockström et al., 2009; Steffen et al., 2015)","previouslyFormattedCitation":"(Rockström et al. 2009; Steffen et al. 2015)"},"properties":{"noteIndex":0},"schema":"https://github.com/citation-style-language/schema/raw/master/csl-citation.json"}</w:instrText>
      </w:r>
      <w:r w:rsidRPr="00DE27E9">
        <w:fldChar w:fldCharType="separate"/>
      </w:r>
      <w:r w:rsidR="006208B4" w:rsidRPr="006208B4">
        <w:rPr>
          <w:noProof/>
        </w:rPr>
        <w:t>(Rockström et al., 2009; Steffen et al., 2015)</w:t>
      </w:r>
      <w:r w:rsidRPr="00DE27E9">
        <w:fldChar w:fldCharType="end"/>
      </w:r>
      <w:r w:rsidR="00680039">
        <w:t xml:space="preserve"> t</w:t>
      </w:r>
      <w:r w:rsidRPr="00DE27E9">
        <w:t>hat necessitate a shift away from growth-oriented policy paradigms.</w:t>
      </w:r>
    </w:p>
    <w:p w14:paraId="027CBB73" w14:textId="034F37B3" w:rsidR="00DE27E9" w:rsidRPr="00DE27E9" w:rsidRDefault="00DE27E9" w:rsidP="00DE27E9">
      <w:r w:rsidRPr="00DE27E9">
        <w:lastRenderedPageBreak/>
        <w:t xml:space="preserve">The four main paradigms identified here are </w:t>
      </w:r>
      <w:r w:rsidR="00DE60BA">
        <w:t>defined</w:t>
      </w:r>
      <w:r w:rsidR="00876364">
        <w:t xml:space="preserve"> below, along with </w:t>
      </w:r>
      <w:r w:rsidR="00A25A53">
        <w:t xml:space="preserve">notes/rules/guidance to support </w:t>
      </w:r>
      <w:r w:rsidR="00876364">
        <w:t>their application to the present study</w:t>
      </w:r>
      <w:r w:rsidRPr="00DE27E9">
        <w:t>.</w:t>
      </w:r>
    </w:p>
    <w:p w14:paraId="6478C09A" w14:textId="0781C8EA" w:rsidR="006B0FE8" w:rsidRDefault="006B0FE8" w:rsidP="006B0FE8">
      <w:pPr>
        <w:pStyle w:val="Heading2"/>
      </w:pPr>
      <w:r w:rsidRPr="006B0FE8">
        <w:t xml:space="preserve">Neoclassical environmental economics </w:t>
      </w:r>
    </w:p>
    <w:p w14:paraId="3D389557" w14:textId="59EE2787" w:rsidR="006B0FE8" w:rsidRPr="006B0FE8" w:rsidRDefault="006B0FE8" w:rsidP="006B0FE8">
      <w:r>
        <w:t>T</w:t>
      </w:r>
      <w:r w:rsidRPr="006B0FE8">
        <w:t xml:space="preserve">he aim of policymaking in neoclassical welfare economics is to maximise aggregate welfare (where an individual’s welfare means the extent to which their preferences for the consumption of goods and services are satisfied). However, this goal is typically pursued indirectly, by prioritising </w:t>
      </w:r>
      <w:r w:rsidRPr="006B0FE8">
        <w:rPr>
          <w:i/>
          <w:iCs/>
        </w:rPr>
        <w:t>efficiency</w:t>
      </w:r>
      <w:r w:rsidRPr="006B0FE8">
        <w:t xml:space="preserve"> in the Kaldor-Hicks sense, meaning the maximisation of aggregate </w:t>
      </w:r>
      <w:r w:rsidRPr="006B0FE8">
        <w:rPr>
          <w:i/>
          <w:iCs/>
        </w:rPr>
        <w:t>wealth</w:t>
      </w:r>
      <w:r w:rsidRPr="006B0FE8">
        <w:t xml:space="preserve"> (i.e. society’s aggregate resources that can be used to satisfy preferences) </w:t>
      </w:r>
      <w:r w:rsidRPr="006B0FE8">
        <w:fldChar w:fldCharType="begin" w:fldLock="1"/>
      </w:r>
      <w:r w:rsidR="006208B4">
        <w:instrText>ADDIN CSL_CITATION {"citationItems":[{"id":"ITEM-1","itemData":{"abstract":"Contents: 1. Ethics and economics? 2. Ethics in welfare economics 3. Ethics in positive economics: two examples Part I. Rationality, Morality, and Markets: 4. Rationality and utility theory 5. Rationality and morality in positive economics 6. The ethical limits to markets Part II. Welfare and Consequences: 7. Utilitarianism, consequentialism, and justice 8. Welfare 9. Welfare economics Part III. Liberty, Rights, Equality and Justice: 10. Liberty, rights and libertarianism 11. Equality and egalitarianism 12. Justice and contractualism Part IV. Moral Mathematics: 13. Social choice theory 14. Game theory Conclusions: 15. Putting economics and ethics to work 16. Economics and ethics, hand in hand Appendix. Read more at http://www.cambridge.org/gb/academic/subjects/economics/public-economics-and-public-policy/economic-analysis-moral-philosophy-and-public-policy-3rd-edition#YwVAQldCq9e4KVLU.99","author":[{"dropping-particle":"","family":"Hausman","given":"Daniel M.","non-dropping-particle":"","parse-names":false,"suffix":""},{"dropping-particle":"","family":"McPherson","given":"Michael S.","non-dropping-particle":"","parse-names":false,"suffix":""},{"dropping-particle":"","family":"Satz","given":"Debra","non-dropping-particle":"","parse-names":false,"suffix":""}],"edition":"3rd","id":"ITEM-1","issued":{"date-parts":[["2016"]]},"publisher":"Cambridge University Press","publisher-place":"Cambridge","title":"Economic Analysis, Moral Philosophy and Public Policy","type":"book"},"label":"chapter","locator":"9","prefix":"see","uris":["http://www.mendeley.com/documents/?uuid=646bd994-e02b-4c45-be04-72e877843814"]}],"mendeley":{"formattedCitation":"(see Hausman et al., 2016, Chapter 9)","plainTextFormattedCitation":"(see Hausman et al., 2016, Chapter 9)","previouslyFormattedCitation":"(see Hausman, McPherson, and Satz 2016, chap. 9)"},"properties":{"noteIndex":0},"schema":"https://github.com/citation-style-language/schema/raw/master/csl-citation.json"}</w:instrText>
      </w:r>
      <w:r w:rsidRPr="006B0FE8">
        <w:fldChar w:fldCharType="separate"/>
      </w:r>
      <w:r w:rsidR="006208B4" w:rsidRPr="006208B4">
        <w:rPr>
          <w:noProof/>
        </w:rPr>
        <w:t>(see Hausman et al., 2016, Chapter 9)</w:t>
      </w:r>
      <w:r w:rsidRPr="006B0FE8">
        <w:fldChar w:fldCharType="end"/>
      </w:r>
      <w:r w:rsidRPr="006B0FE8">
        <w:t xml:space="preserve">. Aggregate wealth, moreover, is assumed to be maximised by economic exchange in </w:t>
      </w:r>
      <w:r w:rsidRPr="006B0FE8">
        <w:rPr>
          <w:i/>
          <w:iCs/>
        </w:rPr>
        <w:t>markets</w:t>
      </w:r>
      <w:r w:rsidRPr="006B0FE8">
        <w:t xml:space="preserve">, except under specified conditions known as “market failures”, such as where market transactions do not fully internalise all costs and benefits of the transaction (known as an “externality”). Environmental impacts on third parties from market transactions are a pervasive area of externalities, which has led to an applied area of neoclassical microeconomics known as </w:t>
      </w:r>
      <w:r w:rsidRPr="006B0FE8">
        <w:rPr>
          <w:i/>
          <w:iCs/>
        </w:rPr>
        <w:t>environmental economics</w:t>
      </w:r>
      <w:r w:rsidRPr="006B0FE8">
        <w:t>.</w:t>
      </w:r>
    </w:p>
    <w:p w14:paraId="3EC6129B" w14:textId="5A94D45E" w:rsidR="006B0FE8" w:rsidRPr="006B0FE8" w:rsidRDefault="006B0FE8" w:rsidP="006B0FE8">
      <w:r w:rsidRPr="006B0FE8">
        <w:t>The legitimate role of the state in the neoclassical paradigm is limited to “fixing market failures”</w:t>
      </w:r>
      <w:r w:rsidRPr="00322ECE">
        <w:rPr>
          <w:rStyle w:val="FootnoteReference"/>
        </w:rPr>
        <w:footnoteReference w:id="3"/>
      </w:r>
      <w:r w:rsidRPr="006B0FE8">
        <w:t xml:space="preserve"> </w:t>
      </w:r>
      <w:r w:rsidRPr="006B0FE8">
        <w:fldChar w:fldCharType="begin" w:fldLock="1"/>
      </w:r>
      <w:r w:rsidR="006208B4">
        <w:instrText>ADDIN CSL_CITATION {"citationItems":[{"id":"ITEM-1","itemData":{"author":[{"dropping-particle":"","family":"Myles","given":"Gareth D.","non-dropping-particle":"","parse-names":false,"suffix":""}],"id":"ITEM-1","issued":{"date-parts":[["1995"]]},"publisher":"Cambridge University Press","publisher-place":"Cambridge","title":"Public Economics","type":"book"},"prefix":"see, e.g.,","uris":["http://www.mendeley.com/documents/?uuid=19aa1f06-92bf-417a-9d63-7249a66b6f74"]}],"mendeley":{"formattedCitation":"(see, e.g., Myles, 1995)","plainTextFormattedCitation":"(see, e.g., Myles, 1995)","previouslyFormattedCitation":"(see, e.g., Myles 1995)"},"properties":{"noteIndex":0},"schema":"https://github.com/citation-style-language/schema/raw/master/csl-citation.json"}</w:instrText>
      </w:r>
      <w:r w:rsidRPr="006B0FE8">
        <w:fldChar w:fldCharType="separate"/>
      </w:r>
      <w:r w:rsidR="006208B4" w:rsidRPr="006208B4">
        <w:rPr>
          <w:noProof/>
        </w:rPr>
        <w:t>(see, e.g., Myles, 1995)</w:t>
      </w:r>
      <w:r w:rsidRPr="006B0FE8">
        <w:fldChar w:fldCharType="end"/>
      </w:r>
      <w:r w:rsidRPr="006B0FE8">
        <w:t xml:space="preserve">, ideally though a single policy instrument tailored to each specific market failure </w:t>
      </w:r>
      <w:r w:rsidRPr="006B0FE8">
        <w:fldChar w:fldCharType="begin" w:fldLock="1"/>
      </w:r>
      <w:r w:rsidR="006208B4">
        <w:instrText>ADDIN CSL_CITATION {"citationItems":[{"id":"ITEM-1","itemData":{"author":[{"dropping-particle":"","family":"Tinbergen","given":"Jan","non-dropping-particle":"","parse-names":false,"suffix":""}],"id":"ITEM-1","issued":{"date-parts":[["1956"]]},"publisher":"North Holland Publishing Company","publisher-place":"Amsterdam","title":"Economic Policy: Principles and Design","type":"book"},"uris":["http://www.mendeley.com/documents/?uuid=9ebe0848-3bbf-4df6-bd73-cf6cc282049b"]}],"mendeley":{"formattedCitation":"(Tinbergen, 1956)","plainTextFormattedCitation":"(Tinbergen, 1956)","previouslyFormattedCitation":"(Tinbergen 1956)"},"properties":{"noteIndex":0},"schema":"https://github.com/citation-style-language/schema/raw/master/csl-citation.json"}</w:instrText>
      </w:r>
      <w:r w:rsidRPr="006B0FE8">
        <w:fldChar w:fldCharType="separate"/>
      </w:r>
      <w:r w:rsidR="006208B4" w:rsidRPr="006208B4">
        <w:rPr>
          <w:noProof/>
        </w:rPr>
        <w:t>(Tinbergen, 1956)</w:t>
      </w:r>
      <w:r w:rsidRPr="006B0FE8">
        <w:fldChar w:fldCharType="end"/>
      </w:r>
      <w:r w:rsidRPr="006B0FE8">
        <w:t xml:space="preserve">. Thus, on this paradigm, climate change is understood as a technical problem of excessive greenhouse gas emissions, which are conceptualised in isolation from the wider systems that cause those emissions </w:t>
      </w:r>
      <w:r w:rsidRPr="006B0FE8">
        <w:fldChar w:fldCharType="begin" w:fldLock="1"/>
      </w:r>
      <w:r w:rsidR="006208B4">
        <w:instrText>ADDIN CSL_CITATION {"citationItems":[{"id":"ITEM-1","itemData":{"author":[{"dropping-particle":"","family":"Green","given":"Fergus","non-dropping-particle":"","parse-names":false,"suffix":""},{"dropping-particle":"","family":"Healy","given":"Noel","non-dropping-particle":"","parse-names":false,"suffix":""}],"container-title":"One Earth","id":"ITEM-1","issue":"6","issued":{"date-parts":[["2022"]]},"page":"635-649","title":"How Inequality Fuels Climate Change: The Climate Case for a Green New Deal","type":"article-journal","volume":"5"},"uris":["http://www.mendeley.com/documents/?uuid=c87c55be-a567-43b5-b6f0-ced34da40efb"]},{"id":"ITEM-2","itemData":{"DOI":"10.1073/pnas.2004093117","ISSN":"10916490","author":[{"dropping-particle":"","family":"Rosenbloom","given":"Daniel","non-dropping-particle":"","parse-names":false,"suffix":""},{"dropping-particle":"","family":"Markard","given":"Jochen","non-dropping-particle":"","parse-names":false,"suffix":""},{"dropping-particle":"","family":"Geels","given":"Frank W.","non-dropping-particle":"","parse-names":false,"suffix":""},{"dropping-particle":"","family":"Fuenfschilling","given":"Lea","non-dropping-particle":"","parse-names":false,"suffix":""}],"container-title":"Proceedings of the National Academy of Sciences of the United States of America","id":"ITEM-2","issue":"16","issued":{"date-parts":[["2020"]]},"page":"8664-8668","title":"Why carbon pricing is not sufficient to mitigate climate change—and how “sustainability transition policy” can help","type":"article-journal","volume":"117"},"uris":["http://www.mendeley.com/documents/?uuid=30f00233-28a2-4ac0-a1ab-8ad0db337149"]}],"mendeley":{"formattedCitation":"(Green &amp; Healy, 2022; Rosenbloom et al., 2020)","plainTextFormattedCitation":"(Green &amp; Healy, 2022; Rosenbloom et al., 2020)","previouslyFormattedCitation":"(Green and Healy 2022; Rosenbloom et al. 2020)"},"properties":{"noteIndex":0},"schema":"https://github.com/citation-style-language/schema/raw/master/csl-citation.json"}</w:instrText>
      </w:r>
      <w:r w:rsidRPr="006B0FE8">
        <w:fldChar w:fldCharType="separate"/>
      </w:r>
      <w:r w:rsidR="006208B4" w:rsidRPr="006208B4">
        <w:rPr>
          <w:noProof/>
        </w:rPr>
        <w:t>(Green &amp; Healy, 2022; Rosenbloom et al., 2020)</w:t>
      </w:r>
      <w:r w:rsidRPr="006B0FE8">
        <w:fldChar w:fldCharType="end"/>
      </w:r>
      <w:r w:rsidRPr="006B0FE8">
        <w:t xml:space="preserve">. The goal of climate policy on this paradigm is to reduce such emissions efficiently, especially through the use of so-called “market mechanisms”, i.e. carbon taxes or emissions trading schemes, designed to internalise the greenhouse gas externalities </w:t>
      </w:r>
      <w:r w:rsidRPr="006B0FE8">
        <w:fldChar w:fldCharType="begin" w:fldLock="1"/>
      </w:r>
      <w:r w:rsidR="006208B4">
        <w:instrText>ADDIN CSL_CITATION {"citationItems":[{"id":"ITEM-1","itemData":{"author":[{"dropping-particle":"","family":"Green","given":"Fergus","non-dropping-particle":"","parse-names":false,"suffix":""}],"chapter-number":"5","container-title":"Trends in Climate Change Legislation","editor":[{"dropping-particle":"","family":"Averchenkova","given":"Alina","non-dropping-particle":"","parse-names":false,"suffix":""},{"dropping-particle":"","family":"Fankhauser","given":"Sam","non-dropping-particle":"","parse-names":false,"suffix":""},{"dropping-particle":"","family":"Nachmany","given":"Michal","non-dropping-particle":"","parse-names":false,"suffix":""}],"id":"ITEM-1","issued":{"date-parts":[["2017"]]},"page":"85–107","publisher":"Edward Elgar","publisher-place":"Cheltenham","title":"The normative foundations of climate legislation","type":"chapter"},"uris":["http://www.mendeley.com/documents/?uuid=a378f6ca-9797-4678-844b-219e4d87a453"]}],"mendeley":{"formattedCitation":"(Green, 2017)","plainTextFormattedCitation":"(Green, 2017)","previouslyFormattedCitation":"(Green 2017)"},"properties":{"noteIndex":0},"schema":"https://github.com/citation-style-language/schema/raw/master/csl-citation.json"}</w:instrText>
      </w:r>
      <w:r w:rsidRPr="006B0FE8">
        <w:fldChar w:fldCharType="separate"/>
      </w:r>
      <w:r w:rsidR="006208B4" w:rsidRPr="006208B4">
        <w:rPr>
          <w:noProof/>
        </w:rPr>
        <w:t>(Green, 2017)</w:t>
      </w:r>
      <w:r w:rsidRPr="006B0FE8">
        <w:fldChar w:fldCharType="end"/>
      </w:r>
      <w:r w:rsidRPr="006B0FE8">
        <w:t xml:space="preserve">. </w:t>
      </w:r>
    </w:p>
    <w:p w14:paraId="4FC4A2A5" w14:textId="77777777" w:rsidR="006B0FE8" w:rsidRPr="006B0FE8" w:rsidRDefault="006B0FE8" w:rsidP="006B0FE8">
      <w:r w:rsidRPr="006B0FE8">
        <w:t>In the climate realm, the EU introduced an Emissions Trading Scheme (</w:t>
      </w:r>
      <w:r w:rsidRPr="006B0FE8">
        <w:rPr>
          <w:b/>
          <w:bCs/>
        </w:rPr>
        <w:t>ETS</w:t>
      </w:r>
      <w:r w:rsidRPr="006B0FE8">
        <w:t xml:space="preserve">) using its ordinary voting procedure. The EU ETS is an archetypical neoclassical climate policy. Generally speaking, however, the EU lacks the fiscal and redistributive capacity of a normal state: it has a small budget, cannot impose taxes other than by consensus among member states (the ETS was not classified as a tax), and has limited capacity to undertake macroeconomic policy. Accordingly, instead of governing through spending and redistribution like national welfare states, it governs primarily through rule-making—setting standards (for instance, concerning technology to be used in production, the use of certain types of products, product labelling, etc.), imposing constraints, and mandating procedures that national actors must follow. But many of these rules are nonetheless grounded in neoclassical market failure theory: rules are created to correct externalities, information asymmetries, and public goods problems </w:t>
      </w:r>
      <w:r w:rsidRPr="006B0FE8">
        <w:lastRenderedPageBreak/>
        <w:t>so markets can function better. This tendency was identified by the political scientist Giandomenico Majone, such that it is common to speak of a “Majone-style regulatory state” as the institutional form that the neoclassical welfare economic paradigm takes at EU level.</w:t>
      </w:r>
    </w:p>
    <w:p w14:paraId="45A061B8" w14:textId="1F5F919C" w:rsidR="006B0FE8" w:rsidRPr="006B0FE8" w:rsidRDefault="006B0FE8" w:rsidP="006B0FE8">
      <w:r w:rsidRPr="006B0FE8">
        <w:t>This EU-specific nuance complicates the task of identifying policy paradigms from E</w:t>
      </w:r>
      <w:r>
        <w:t>U</w:t>
      </w:r>
      <w:r w:rsidRPr="006B0FE8">
        <w:t xml:space="preserve"> policy documents because </w:t>
      </w:r>
      <w:r w:rsidRPr="006B0FE8">
        <w:rPr>
          <w:b/>
          <w:bCs/>
        </w:rPr>
        <w:t xml:space="preserve">neoclassical logics (with the exception of obvious things like the EU ETS) often need to be inferred from the </w:t>
      </w:r>
      <w:r w:rsidRPr="006B0FE8">
        <w:rPr>
          <w:b/>
          <w:bCs/>
          <w:i/>
          <w:iCs/>
        </w:rPr>
        <w:t xml:space="preserve">justification </w:t>
      </w:r>
      <w:r w:rsidRPr="006B0FE8">
        <w:rPr>
          <w:b/>
          <w:bCs/>
        </w:rPr>
        <w:t xml:space="preserve">for policy rather than from the </w:t>
      </w:r>
      <w:r w:rsidRPr="006B0FE8">
        <w:rPr>
          <w:b/>
          <w:bCs/>
          <w:i/>
          <w:iCs/>
        </w:rPr>
        <w:t>instruments</w:t>
      </w:r>
      <w:r w:rsidRPr="006B0FE8">
        <w:rPr>
          <w:i/>
          <w:iCs/>
        </w:rPr>
        <w:t xml:space="preserve"> </w:t>
      </w:r>
      <w:r w:rsidRPr="006B0FE8">
        <w:t xml:space="preserve">(which are predominantly rules, as noted). For example, justifications for policy proposals that emphasise </w:t>
      </w:r>
      <w:r w:rsidRPr="006B0FE8">
        <w:rPr>
          <w:b/>
          <w:bCs/>
        </w:rPr>
        <w:t>efficiency</w:t>
      </w:r>
      <w:r w:rsidR="00254431">
        <w:t xml:space="preserve">, </w:t>
      </w:r>
      <w:r w:rsidRPr="006B0FE8">
        <w:rPr>
          <w:b/>
          <w:bCs/>
        </w:rPr>
        <w:t>cost-benefit analysis</w:t>
      </w:r>
      <w:r w:rsidR="00561E08">
        <w:t>,</w:t>
      </w:r>
      <w:r w:rsidRPr="006B0FE8">
        <w:t xml:space="preserve"> </w:t>
      </w:r>
      <w:r w:rsidR="00254431" w:rsidRPr="00254431">
        <w:rPr>
          <w:b/>
          <w:bCs/>
        </w:rPr>
        <w:t xml:space="preserve">Best Available </w:t>
      </w:r>
      <w:r w:rsidR="00254431">
        <w:rPr>
          <w:b/>
          <w:bCs/>
        </w:rPr>
        <w:t>Technologies/</w:t>
      </w:r>
      <w:r w:rsidR="00254431" w:rsidRPr="00254431">
        <w:rPr>
          <w:b/>
          <w:bCs/>
        </w:rPr>
        <w:t>Techniques</w:t>
      </w:r>
      <w:r w:rsidR="00254431">
        <w:t xml:space="preserve"> </w:t>
      </w:r>
      <w:r w:rsidR="00FE4F84" w:rsidRPr="00FE4F84">
        <w:rPr>
          <w:b/>
          <w:bCs/>
        </w:rPr>
        <w:t>(BAT)</w:t>
      </w:r>
      <w:r w:rsidR="00942D3D">
        <w:rPr>
          <w:b/>
          <w:bCs/>
        </w:rPr>
        <w:t xml:space="preserve"> </w:t>
      </w:r>
      <w:r w:rsidR="00942D3D">
        <w:t xml:space="preserve">(as opposed </w:t>
      </w:r>
      <w:r w:rsidR="001E7049">
        <w:t>to stimulating new technologies, which would be more evolutionary)</w:t>
      </w:r>
      <w:r w:rsidR="001B45B8">
        <w:t xml:space="preserve">, and </w:t>
      </w:r>
      <w:r w:rsidR="001B45B8">
        <w:rPr>
          <w:b/>
          <w:bCs/>
        </w:rPr>
        <w:t>market competition</w:t>
      </w:r>
      <w:r w:rsidR="00FE4F84">
        <w:t xml:space="preserve"> </w:t>
      </w:r>
      <w:r w:rsidRPr="006B0FE8">
        <w:t>are good indicators of a neoclassical paradigm at work.</w:t>
      </w:r>
    </w:p>
    <w:p w14:paraId="183F0988" w14:textId="5868C8B1" w:rsidR="00321A3F" w:rsidRPr="008433C1" w:rsidRDefault="00150DEF" w:rsidP="006B0FE8">
      <w:r>
        <w:t xml:space="preserve">A </w:t>
      </w:r>
      <w:r w:rsidR="006B0FE8">
        <w:t xml:space="preserve">good example of </w:t>
      </w:r>
      <w:r w:rsidR="008433C1">
        <w:t xml:space="preserve">a </w:t>
      </w:r>
      <w:r w:rsidR="006B0FE8">
        <w:t xml:space="preserve">document </w:t>
      </w:r>
      <w:r w:rsidR="00A4739D">
        <w:t xml:space="preserve">that </w:t>
      </w:r>
      <w:r w:rsidR="00321A3F">
        <w:t>reflect</w:t>
      </w:r>
      <w:r w:rsidR="008433C1">
        <w:t>s</w:t>
      </w:r>
      <w:r w:rsidR="00321A3F">
        <w:t xml:space="preserve"> a </w:t>
      </w:r>
      <w:r w:rsidR="006B0FE8">
        <w:t>Majone</w:t>
      </w:r>
      <w:r w:rsidR="00321A3F">
        <w:t>-</w:t>
      </w:r>
      <w:r w:rsidR="006B0FE8">
        <w:t>style regulatory state</w:t>
      </w:r>
      <w:r w:rsidR="00321A3F">
        <w:t xml:space="preserve"> version of neoclassical welfare economics, and thus should be coded “neoclassical”, </w:t>
      </w:r>
      <w:r w:rsidR="008433C1">
        <w:t xml:space="preserve">is </w:t>
      </w:r>
      <w:r w:rsidR="00321A3F">
        <w:t xml:space="preserve">the </w:t>
      </w:r>
      <w:r w:rsidR="00321A3F" w:rsidRPr="008433C1">
        <w:t>following</w:t>
      </w:r>
      <w:r w:rsidR="006B0FE8" w:rsidRPr="008433C1">
        <w:t xml:space="preserve">: </w:t>
      </w:r>
    </w:p>
    <w:p w14:paraId="2E83D47F" w14:textId="63946361" w:rsidR="006B0FE8" w:rsidRPr="008433C1" w:rsidRDefault="008433C1" w:rsidP="008433C1">
      <w:pPr>
        <w:pStyle w:val="ListParagraph"/>
      </w:pPr>
      <w:hyperlink r:id="rId10" w:history="1">
        <w:r w:rsidRPr="008433C1">
          <w:rPr>
            <w:rStyle w:val="Hyperlink"/>
          </w:rPr>
          <w:t>https://eur-lex.europa.eu/legal-content/EN/TXT/?uri=CELEX:52007PC0844</w:t>
        </w:r>
      </w:hyperlink>
      <w:r w:rsidR="006B0FE8" w:rsidRPr="008433C1">
        <w:t xml:space="preserve"> </w:t>
      </w:r>
      <w:r w:rsidR="00FE4F84" w:rsidRPr="008433C1">
        <w:t>(references to “cost-effectiveness”, BAT</w:t>
      </w:r>
      <w:r w:rsidR="009872A9" w:rsidRPr="008433C1">
        <w:t xml:space="preserve"> etc. in the “context of the proposal” section of the </w:t>
      </w:r>
      <w:r w:rsidR="007B1311" w:rsidRPr="008433C1">
        <w:t>Explanatory Memorandum to the proposed directive)</w:t>
      </w:r>
      <w:r w:rsidR="00F109EA" w:rsidRPr="008433C1">
        <w:t>;</w:t>
      </w:r>
    </w:p>
    <w:p w14:paraId="34D19827" w14:textId="65C3C5FD" w:rsidR="006B0FE8" w:rsidRPr="006B0FE8" w:rsidRDefault="006B0FE8" w:rsidP="006B0FE8">
      <w:r w:rsidRPr="008433C1">
        <w:t>At the macroeconomic scale, neoclassical economists recognise the potential for</w:t>
      </w:r>
      <w:r w:rsidRPr="006B0FE8">
        <w:t xml:space="preserve"> environmental externalities to degrade the natural resources and ecological services (or “natural capital”) on which economic growth depends </w:t>
      </w:r>
      <w:r w:rsidRPr="006B0FE8">
        <w:fldChar w:fldCharType="begin" w:fldLock="1"/>
      </w:r>
      <w:r w:rsidR="006208B4">
        <w:instrText>ADDIN CSL_CITATION {"citationItems":[{"id":"ITEM-1","itemData":{"author":[{"dropping-particle":"","family":"Hartwick","given":"John M.","non-dropping-particle":"","parse-names":false,"suffix":""}],"container-title":"The American Economic Review","id":"ITEM-1","issue":"5","issued":{"date-parts":[["1977"]]},"page":"972-974","title":"Intergenerational Equity and the Investing of Rents from Exhaustible Resources","type":"article-journal","volume":"67"},"uris":["http://www.mendeley.com/documents/?uuid=ba8b57b2-c1fa-3d5b-9c5c-444a5db58d4e"]},{"id":"ITEM-2","itemData":{"author":[{"dropping-particle":"","family":"Solow","given":"Robert M","non-dropping-particle":"","parse-names":false,"suffix":""}],"container-title":"The American Economic Review","id":"ITEM-2","issue":"2","issued":{"date-parts":[["1974"]]},"page":"1-14","publisher":"American Economic Association","title":"The Economics of Resources or the Resources of Economics","type":"article-journal","volume":"64"},"uris":["http://www.mendeley.com/documents/?uuid=dc4ff2ab-0e43-3e9b-a41b-2e4eb682921b"]},{"id":"ITEM-3","itemData":{"author":[{"dropping-particle":"","family":"Nordhaus","given":"William D.","non-dropping-particle":"","parse-names":false,"suffix":""}],"container-title":"The American Economic Review","id":"ITEM-3","issue":"2","issued":{"date-parts":[["1974"]]},"page":"22-26","publisher":"American Economic Association","title":"Resources as a Constraint on Growth","type":"article-journal","volume":"64"},"uris":["http://www.mendeley.com/documents/?uuid=9e1dc48f-71b5-3ca4-ba4b-15cce737e9c2"]}],"mendeley":{"formattedCitation":"(Hartwick, 1977; Nordhaus, 1974; Solow, 1974)","plainTextFormattedCitation":"(Hartwick, 1977; Nordhaus, 1974; Solow, 1974)","previouslyFormattedCitation":"(Hartwick 1977; Nordhaus 1974; Solow 1974)"},"properties":{"noteIndex":0},"schema":"https://github.com/citation-style-language/schema/raw/master/csl-citation.json"}</w:instrText>
      </w:r>
      <w:r w:rsidRPr="006B0FE8">
        <w:fldChar w:fldCharType="separate"/>
      </w:r>
      <w:r w:rsidR="006208B4" w:rsidRPr="006208B4">
        <w:rPr>
          <w:noProof/>
        </w:rPr>
        <w:t>(Hartwick, 1977; Nordhaus, 1974; Solow, 1974)</w:t>
      </w:r>
      <w:r w:rsidRPr="006B0FE8">
        <w:fldChar w:fldCharType="end"/>
      </w:r>
      <w:r w:rsidRPr="006B0FE8">
        <w:t xml:space="preserve">. Hence they see “the environment–growth relationship as one of weak complementarity: preserving natural capital is necessary to avoid future declines in economic growth” </w:t>
      </w:r>
      <w:r w:rsidRPr="006B0FE8">
        <w:fldChar w:fldCharType="begin" w:fldLock="1"/>
      </w:r>
      <w:r w:rsidR="006208B4">
        <w:instrText>ADDIN CSL_CITATION {"citationItems":[{"id":"ITEM-1","itemData":{"DOI":"10.1038/s41558-020-0739-7","ISBN":"4155802007","ISSN":"17586798","abstract":"From carbon pricing to green industrial policy, economic ideas have shaped climate policy. Drawing on a new dataset of policy reports, we show how economic ideas influenced climate policy advice by major international organizations, including the Organisation for Economic Cooperation and Development and the World Bank, from 1990 to 2017. In the 1990s, the neoclassical notion of weak complementarity between environmental protection and growth dominated debates on sustainable development. In the mid-2000s, economic thought on the environment diversified, as the idea of strong complementarity between environmental protection and growth emerged in the green growth discourse. Adaptations of Schumpeterian and Keynesian economics identified investment in energy innovation and infrastructure as drivers of growth. We thus identify a major transformation from a neoclassical paradigm to a diversified policy discourse, suggesting that climate policy has entered a postparadigmatic period. The diversification of ideas broadened policy advice from market-based policy to green industrial policy, including deployment subsidies and regulation.","author":[{"dropping-particle":"","family":"Meckling","given":"Jonas","non-dropping-particle":"","parse-names":false,"suffix":""},{"dropping-particle":"","family":"Allan","given":"Bentley B.","non-dropping-particle":"","parse-names":false,"suffix":""}],"container-title":"Nature Climate Change","id":"ITEM-1","issue":"5","issued":{"date-parts":[["2020"]]},"page":"434-438","publisher":"Springer US","title":"The evolution of ideas in global climate policy","type":"article-journal","volume":"10"},"locator":"434","uris":["http://www.mendeley.com/documents/?uuid=4ebd675f-72a9-46e3-b482-072105b5bbfe"]}],"mendeley":{"formattedCitation":"(Meckling &amp; Allan, 2020, p. 434)","plainTextFormattedCitation":"(Meckling &amp; Allan, 2020, p. 434)","previouslyFormattedCitation":"(Meckling and Allan 2020, 434)"},"properties":{"noteIndex":0},"schema":"https://github.com/citation-style-language/schema/raw/master/csl-citation.json"}</w:instrText>
      </w:r>
      <w:r w:rsidRPr="006B0FE8">
        <w:fldChar w:fldCharType="separate"/>
      </w:r>
      <w:r w:rsidR="006208B4" w:rsidRPr="006208B4">
        <w:rPr>
          <w:noProof/>
        </w:rPr>
        <w:t>(Meckling &amp; Allan, 2020, p. 434)</w:t>
      </w:r>
      <w:r w:rsidRPr="006B0FE8">
        <w:fldChar w:fldCharType="end"/>
      </w:r>
      <w:r w:rsidRPr="006B0FE8">
        <w:t xml:space="preserve">. Accordingly, some neoclassical justifications may also appeal to an “ economic growth” logic, at least when the proposal is presented as preventing the degradation of natural capital (and thus ensuring the ecological </w:t>
      </w:r>
      <w:r w:rsidRPr="006B0FE8">
        <w:rPr>
          <w:i/>
          <w:iCs/>
        </w:rPr>
        <w:t>conditions</w:t>
      </w:r>
      <w:r w:rsidRPr="006B0FE8">
        <w:t xml:space="preserve"> for future growth)—but be careful here, as the two green growth paradigms obviously also appeal to economic growth. The difference, as we shall see, is that in the two green growth cases, the assumption is that the proposed climate policy measure itself will stimulate economic growth.</w:t>
      </w:r>
    </w:p>
    <w:p w14:paraId="166DEE7E" w14:textId="77777777" w:rsidR="004C17BC" w:rsidRDefault="004C17BC" w:rsidP="004C17BC">
      <w:pPr>
        <w:pStyle w:val="Heading2"/>
      </w:pPr>
      <w:r w:rsidRPr="004C17BC">
        <w:t>Green growth (Keynesianism)</w:t>
      </w:r>
    </w:p>
    <w:p w14:paraId="00802810" w14:textId="529AE7E5" w:rsidR="00504E75" w:rsidRPr="00504E75" w:rsidRDefault="004C17BC" w:rsidP="00504E75">
      <w:r w:rsidRPr="004C17BC">
        <w:t xml:space="preserve">According to Keynesian economy theory, the state should use fiscal policy to stimulate </w:t>
      </w:r>
      <w:r w:rsidRPr="004C17BC">
        <w:rPr>
          <w:b/>
          <w:bCs/>
        </w:rPr>
        <w:t>aggregate demand</w:t>
      </w:r>
      <w:r w:rsidRPr="004C17BC">
        <w:t xml:space="preserve"> in the economy in times when it is lower than the economy’s productive capacity, and especially during a recession or a depression.</w:t>
      </w:r>
      <w:r w:rsidR="00504E75" w:rsidRPr="00504E75">
        <w:rPr>
          <w:b/>
          <w:bCs/>
          <w:i/>
          <w:iCs/>
        </w:rPr>
        <w:t xml:space="preserve"> </w:t>
      </w:r>
      <w:r w:rsidR="00504E75" w:rsidRPr="00504E75">
        <w:t xml:space="preserve">Typical Keynesian policies are those that directly or indirectly—and </w:t>
      </w:r>
      <w:r w:rsidR="00504E75" w:rsidRPr="00504E75">
        <w:rPr>
          <w:i/>
          <w:iCs/>
        </w:rPr>
        <w:t>quickly</w:t>
      </w:r>
      <w:r w:rsidR="00504E75" w:rsidRPr="00504E75">
        <w:t xml:space="preserve">—increase the income of consumers, or that spend government money on infrastructure projects </w:t>
      </w:r>
      <w:r w:rsidR="00504E75" w:rsidRPr="00504E75">
        <w:rPr>
          <w:i/>
          <w:iCs/>
        </w:rPr>
        <w:t>for the purpose of stimulating demand in the economy when it is otherwise weak</w:t>
      </w:r>
      <w:r w:rsidR="00504E75" w:rsidRPr="00504E75">
        <w:t xml:space="preserve">. Keynes was, other than this, not particularly interested in </w:t>
      </w:r>
      <w:r w:rsidR="00504E75" w:rsidRPr="00504E75">
        <w:rPr>
          <w:i/>
          <w:iCs/>
        </w:rPr>
        <w:t xml:space="preserve">what </w:t>
      </w:r>
      <w:r w:rsidR="00504E75" w:rsidRPr="00504E75">
        <w:t xml:space="preserve">the money was spent on: if </w:t>
      </w:r>
      <w:r w:rsidR="00504E75" w:rsidRPr="00504E75">
        <w:lastRenderedPageBreak/>
        <w:t xml:space="preserve">employing workers to dig holes that weren’t needed could get money into the economy, then it would be better than not digging the holes. </w:t>
      </w:r>
    </w:p>
    <w:p w14:paraId="4F8DB063" w14:textId="2560E92B" w:rsidR="00504E75" w:rsidRPr="00504E75" w:rsidRDefault="00504E75" w:rsidP="00504E75">
      <w:r w:rsidRPr="00504E75">
        <w:t xml:space="preserve">Green Keynesians are </w:t>
      </w:r>
      <w:r w:rsidRPr="00504E75">
        <w:rPr>
          <w:i/>
          <w:iCs/>
        </w:rPr>
        <w:t>Keynesians</w:t>
      </w:r>
      <w:r w:rsidRPr="00504E75">
        <w:t xml:space="preserve"> in the sense that they endorse the role of the state to stimulate aggregate demand when the economy is not performing at its productive capacity, but they argue that such stimulus should also be concerned with ensuring that the economic activity stimulated by the state’s policies is </w:t>
      </w:r>
      <w:r w:rsidRPr="00504E75">
        <w:rPr>
          <w:i/>
          <w:iCs/>
        </w:rPr>
        <w:t xml:space="preserve">green </w:t>
      </w:r>
      <w:r w:rsidRPr="00504E75">
        <w:t xml:space="preserve">in the sense of having an environmental benefit. For climate purposes, this means that the activity should be something that helps to avoid GHG emissions (like subsidising the purchase of electric vehicles) or that removes carbon dioxide from the atmosphere (like planting trees)—since there is typically sub-optimal demand for these goods. In this way, Green Keynesians are concerned with the </w:t>
      </w:r>
      <w:r w:rsidRPr="00504E75">
        <w:rPr>
          <w:i/>
          <w:iCs/>
        </w:rPr>
        <w:t>direction</w:t>
      </w:r>
      <w:r w:rsidRPr="00504E75">
        <w:t xml:space="preserve"> or </w:t>
      </w:r>
      <w:r w:rsidRPr="00504E75">
        <w:rPr>
          <w:i/>
          <w:iCs/>
        </w:rPr>
        <w:t>“shape”</w:t>
      </w:r>
      <w:r w:rsidRPr="00504E75">
        <w:t xml:space="preserve"> of the economy, not merely its aggregate level of activity. We may also say that Green Keynesian policy proposals tend to focus on both the short-term stimulus and medium-to-long term environmental benefits of green or low-carbon infrastructure investments </w:t>
      </w:r>
      <w:r w:rsidRPr="00504E75">
        <w:fldChar w:fldCharType="begin" w:fldLock="1"/>
      </w:r>
      <w:r w:rsidR="006208B4">
        <w:instrText>ADDIN CSL_CITATION {"citationItems":[{"id":"ITEM-1","itemData":{"author":[{"dropping-particle":"","family":"Barbier","given":"Edward B.","non-dropping-particle":"","parse-names":false,"suffix":""}],"id":"ITEM-1","issued":{"date-parts":[["2010"]]},"publisher":"Cambridge University Press","publisher-place":"Cambridge","title":"A Global Green New Deal: Rethinking the Economic Recovery","type":"book"},"uris":["http://www.mendeley.com/documents/?uuid=f38b749a-2341-41f2-8b32-f5c27a3db9c1"]},{"id":"ITEM-2","itemData":{"ISBN":"1048-2911 (Print)\\r1048-2911 (Linking)","ISSN":"1048-2911","PMID":"19608513","abstract":"The last year was marked by food, fuel, and financial crises and the latter has translated itself into a global economic crisis. Climate change is accelerating and, unless checked, it promises to be the greatest market failure of all time with serious and significant implications for employment and economic activity. We must produce and consume in far more efficient and less extractive ways; we must re-invest in the productivity of the work force, innovation, and the natural assets that beget prosperity.","author":[{"dropping-particle":"","family":"UNEP","given":"","non-dropping-particle":"","parse-names":false,"suffix":""}],"id":"ITEM-2","issue":"2","issued":{"date-parts":[["2009"]]},"number-of-pages":"185-193","publisher-place":"Geneva","title":"Global Green New Deal: Policy Brief","type":"report","volume":"19"},"uris":["http://www.mendeley.com/documents/?uuid=528ff8e8-9ff1-4eab-a06f-b167dbf20b18"]},{"id":"ITEM-3","itemData":{"author":[{"dropping-particle":"","family":"Hepburn","given":"Cameron","non-dropping-particle":"","parse-names":false,"suffix":""},{"dropping-particle":"","family":"O’Callaghan","given":"Brian","non-dropping-particle":"","parse-names":false,"suffix":""},{"dropping-particle":"","family":"Stern","given":"Nicholas","non-dropping-particle":"","parse-names":false,"suffix":""},{"dropping-particle":"","family":"Stiglitz","given":"Joseph","non-dropping-particle":"","parse-names":false,"suffix":""},{"dropping-particle":"","family":"Zenghelis","given":"Dimitri","non-dropping-particle":"","parse-names":false,"suffix":""}],"container-title":"Oxford Review of Economic Policy","id":"ITEM-3","issue":"S1","issued":{"date-parts":[["2020"]]},"page":"S359-S381","title":"Will COVID-19 fiscal recovery packages accelerate or retard progress on climate change?","type":"article-journal","volume":"36"},"uris":["http://www.mendeley.com/documents/?uuid=fe9e1256-5179-42ed-bc12-40730daf082a"]},{"id":"ITEM-4","itemData":{"DOI":"10.1002/wcc.256","ISSN":"17577780","author":[{"dropping-particle":"","family":"Zenghelis","given":"Dimitri","non-dropping-particle":"","parse-names":false,"suffix":""}],"container-title":"Wiley Interdisciplinary Reviews: Climate Change","id":"ITEM-4","issue":"1","issued":{"date-parts":[["2014"]]},"page":"7-14","title":"In praise of a green stimulus","type":"article-journal","volume":"5"},"uris":["http://www.mendeley.com/documents/?uuid=ca4a58f2-f9de-4d6a-a826-39354095d66d"]},{"id":"ITEM-5","itemData":{"author":[{"dropping-particle":"","family":"Ekins","given":"Paul","non-dropping-particle":"","parse-names":false,"suffix":""},{"dropping-particle":"","family":"McDowall","given":"Will","non-dropping-particle":"","parse-names":false,"suffix":""},{"dropping-particle":"","family":"Zenghelis","given":"Dimitri","non-dropping-particle":"","parse-names":false,"suffix":""}],"id":"ITEM-5","issued":{"date-parts":[["2014"]]},"publisher-place":"London","title":"Greening the Recovery: The Report of the UCL Green Economy Policy Commission","type":"report"},"uris":["http://www.mendeley.com/documents/?uuid=e33e0ac3-8258-4bb2-9d63-c09502cd03b5"]}],"mendeley":{"formattedCitation":"(Barbier, 2010; Ekins et al., 2014; Hepburn et al., 2020; UNEP, 2009; Zenghelis, 2014)","plainTextFormattedCitation":"(Barbier, 2010; Ekins et al., 2014; Hepburn et al., 2020; UNEP, 2009; Zenghelis, 2014)","previouslyFormattedCitation":"(Barbier 2010; Ekins, McDowall, and Zenghelis 2014; Hepburn et al. 2020; UNEP 2009; Zenghelis 2014)"},"properties":{"noteIndex":0},"schema":"https://github.com/citation-style-language/schema/raw/master/csl-citation.json"}</w:instrText>
      </w:r>
      <w:r w:rsidRPr="00504E75">
        <w:fldChar w:fldCharType="separate"/>
      </w:r>
      <w:r w:rsidR="006208B4" w:rsidRPr="006208B4">
        <w:rPr>
          <w:noProof/>
        </w:rPr>
        <w:t>(Barbier, 2010; Ekins et al., 2014; Hepburn et al., 2020; UNEP, 2009; Zenghelis, 2014)</w:t>
      </w:r>
      <w:r w:rsidRPr="00504E75">
        <w:fldChar w:fldCharType="end"/>
      </w:r>
      <w:r w:rsidRPr="00504E75">
        <w:t xml:space="preserve">. </w:t>
      </w:r>
    </w:p>
    <w:p w14:paraId="09B49B80" w14:textId="1AA4FB67" w:rsidR="00504E75" w:rsidRPr="00504E75" w:rsidRDefault="00504E75" w:rsidP="00504E75">
      <w:r w:rsidRPr="00504E75">
        <w:t xml:space="preserve">Green Keynesianism assumes a relationship, at least under certain economic conditions (i.e. weak aggregate demand), of “strong complementarity” between economic growth and environmental sustainability: “climate policy can drive economic growth”, leading to “green growth” </w:t>
      </w:r>
      <w:r w:rsidRPr="00504E75">
        <w:fldChar w:fldCharType="begin" w:fldLock="1"/>
      </w:r>
      <w:r w:rsidR="006208B4">
        <w:instrText>ADDIN CSL_CITATION {"citationItems":[{"id":"ITEM-1","itemData":{"DOI":"10.1038/s41558-020-0739-7","ISBN":"4155802007","ISSN":"17586798","abstract":"From carbon pricing to green industrial policy, economic ideas have shaped climate policy. Drawing on a new dataset of policy reports, we show how economic ideas influenced climate policy advice by major international organizations, including the Organisation for Economic Cooperation and Development and the World Bank, from 1990 to 2017. In the 1990s, the neoclassical notion of weak complementarity between environmental protection and growth dominated debates on sustainable development. In the mid-2000s, economic thought on the environment diversified, as the idea of strong complementarity between environmental protection and growth emerged in the green growth discourse. Adaptations of Schumpeterian and Keynesian economics identified investment in energy innovation and infrastructure as drivers of growth. We thus identify a major transformation from a neoclassical paradigm to a diversified policy discourse, suggesting that climate policy has entered a postparadigmatic period. The diversification of ideas broadened policy advice from market-based policy to green industrial policy, including deployment subsidies and regulation.","author":[{"dropping-particle":"","family":"Meckling","given":"Jonas","non-dropping-particle":"","parse-names":false,"suffix":""},{"dropping-particle":"","family":"Allan","given":"Bentley B.","non-dropping-particle":"","parse-names":false,"suffix":""}],"container-title":"Nature Climate Change","id":"ITEM-1","issue":"5","issued":{"date-parts":[["2020"]]},"page":"434-438","publisher":"Springer US","title":"The evolution of ideas in global climate policy","type":"article-journal","volume":"10"},"locator":"434","uris":["http://www.mendeley.com/documents/?uuid=4ebd675f-72a9-46e3-b482-072105b5bbfe"]}],"mendeley":{"formattedCitation":"(Meckling &amp; Allan, 2020, p. 434)","plainTextFormattedCitation":"(Meckling &amp; Allan, 2020, p. 434)","previouslyFormattedCitation":"(Meckling and Allan 2020, 434)"},"properties":{"noteIndex":0},"schema":"https://github.com/citation-style-language/schema/raw/master/csl-citation.json"}</w:instrText>
      </w:r>
      <w:r w:rsidRPr="00504E75">
        <w:fldChar w:fldCharType="separate"/>
      </w:r>
      <w:r w:rsidR="006208B4" w:rsidRPr="006208B4">
        <w:rPr>
          <w:noProof/>
        </w:rPr>
        <w:t>(Meckling &amp; Allan, 2020, p. 434)</w:t>
      </w:r>
      <w:r w:rsidRPr="00504E75">
        <w:fldChar w:fldCharType="end"/>
      </w:r>
      <w:r w:rsidRPr="00504E75">
        <w:t xml:space="preserve">. </w:t>
      </w:r>
    </w:p>
    <w:p w14:paraId="70BE3671" w14:textId="4EFFDEDF" w:rsidR="00504E75" w:rsidRPr="00504E75" w:rsidRDefault="00504E75" w:rsidP="00504E75">
      <w:r w:rsidRPr="00504E75">
        <w:t xml:space="preserve">Instruments typically contemplated by Green Keynesians include subsidies for the deployment of low-carbon technologies, infrastructure investment, and government procurement policies that favour low-carbon technologies/services </w:t>
      </w:r>
      <w:r w:rsidRPr="00504E75">
        <w:fldChar w:fldCharType="begin" w:fldLock="1"/>
      </w:r>
      <w:r w:rsidR="006208B4">
        <w:instrText>ADDIN CSL_CITATION {"citationItems":[{"id":"ITEM-1","itemData":{"DOI":"10.1038/s41558-020-0739-7","ISBN":"4155802007","ISSN":"17586798","abstract":"From carbon pricing to green industrial policy, economic ideas have shaped climate policy. Drawing on a new dataset of policy reports, we show how economic ideas influenced climate policy advice by major international organizations, including the Organisation for Economic Cooperation and Development and the World Bank, from 1990 to 2017. In the 1990s, the neoclassical notion of weak complementarity between environmental protection and growth dominated debates on sustainable development. In the mid-2000s, economic thought on the environment diversified, as the idea of strong complementarity between environmental protection and growth emerged in the green growth discourse. Adaptations of Schumpeterian and Keynesian economics identified investment in energy innovation and infrastructure as drivers of growth. We thus identify a major transformation from a neoclassical paradigm to a diversified policy discourse, suggesting that climate policy has entered a postparadigmatic period. The diversification of ideas broadened policy advice from market-based policy to green industrial policy, including deployment subsidies and regulation.","author":[{"dropping-particle":"","family":"Meckling","given":"Jonas","non-dropping-particle":"","parse-names":false,"suffix":""},{"dropping-particle":"","family":"Allan","given":"Bentley B.","non-dropping-particle":"","parse-names":false,"suffix":""}],"container-title":"Nature Climate Change","id":"ITEM-1","issue":"5","issued":{"date-parts":[["2020"]]},"page":"434-438","publisher":"Springer US","title":"The evolution of ideas in global climate policy","type":"article-journal","volume":"10"},"locator":"435","uris":["http://www.mendeley.com/documents/?uuid=4ebd675f-72a9-46e3-b482-072105b5bbfe"]}],"mendeley":{"formattedCitation":"(Meckling &amp; Allan, 2020, p. 435)","plainTextFormattedCitation":"(Meckling &amp; Allan, 2020, p. 435)","previouslyFormattedCitation":"(Meckling and Allan 2020, 435)"},"properties":{"noteIndex":0},"schema":"https://github.com/citation-style-language/schema/raw/master/csl-citation.json"}</w:instrText>
      </w:r>
      <w:r w:rsidRPr="00504E75">
        <w:fldChar w:fldCharType="separate"/>
      </w:r>
      <w:r w:rsidR="006208B4" w:rsidRPr="006208B4">
        <w:rPr>
          <w:noProof/>
        </w:rPr>
        <w:t>(Meckling &amp; Allan, 2020, p. 435)</w:t>
      </w:r>
      <w:r w:rsidRPr="00504E75">
        <w:fldChar w:fldCharType="end"/>
      </w:r>
      <w:r w:rsidRPr="00504E75">
        <w:t xml:space="preserve">. But these policies can also be justified on an evolutionary economic logic (see below). Accordingly, distinguishing these two paradigms will require careful attention to the </w:t>
      </w:r>
      <w:r w:rsidRPr="00504E75">
        <w:rPr>
          <w:i/>
          <w:iCs/>
        </w:rPr>
        <w:t>justification</w:t>
      </w:r>
      <w:r w:rsidRPr="00504E75">
        <w:t xml:space="preserve"> for the policy, not merely the instrument proposed. If the justification is primarily in terms of stimulating aggregate demand (as well as demand for green products specifically), then this is evidence in favour of a Keynesian interpretation.</w:t>
      </w:r>
    </w:p>
    <w:p w14:paraId="50C07A20" w14:textId="7A7C8064" w:rsidR="00142CBD" w:rsidRDefault="007D5B9D" w:rsidP="00142CBD">
      <w:pPr>
        <w:ind w:left="720"/>
      </w:pPr>
      <w:r>
        <w:t>This example pertains to the Common Agricultural Policy</w:t>
      </w:r>
      <w:r w:rsidR="002D4D21">
        <w:t xml:space="preserve">, which is a mix of </w:t>
      </w:r>
      <w:r w:rsidR="0033574A">
        <w:t>Key</w:t>
      </w:r>
      <w:r w:rsidR="008E7FAF">
        <w:t>n</w:t>
      </w:r>
      <w:r w:rsidR="0033574A">
        <w:t xml:space="preserve">esian, </w:t>
      </w:r>
      <w:r w:rsidR="008E7FAF">
        <w:t>p</w:t>
      </w:r>
      <w:r w:rsidR="0033574A">
        <w:t>ost-growth and evolutionary</w:t>
      </w:r>
      <w:r>
        <w:t xml:space="preserve"> </w:t>
      </w:r>
      <w:r w:rsidR="0033574A">
        <w:t xml:space="preserve">(with the order depending on the specific document) </w:t>
      </w:r>
      <w:hyperlink r:id="rId11" w:history="1">
        <w:r w:rsidR="0033574A" w:rsidRPr="00E844DA">
          <w:rPr>
            <w:rStyle w:val="Hyperlink"/>
          </w:rPr>
          <w:t>https://eur-lex.europa.eu/legal-content/EN/TXT/?uri=CELEX:52017DC0713</w:t>
        </w:r>
      </w:hyperlink>
    </w:p>
    <w:p w14:paraId="1A14356B" w14:textId="3A09DE23" w:rsidR="00142CBD" w:rsidRDefault="00D5205A" w:rsidP="00142CBD">
      <w:pPr>
        <w:pStyle w:val="Heading2"/>
      </w:pPr>
      <w:r w:rsidRPr="00142CBD">
        <w:rPr>
          <w:rFonts w:eastAsiaTheme="minorHAnsi"/>
        </w:rPr>
        <w:t xml:space="preserve">Green growth (evolutionary economics) </w:t>
      </w:r>
    </w:p>
    <w:p w14:paraId="69A1E839" w14:textId="031A113E" w:rsidR="001914F8" w:rsidRDefault="00D5205A" w:rsidP="00D5205A">
      <w:r w:rsidRPr="00D5205A">
        <w:t xml:space="preserve">Contemporary scholars in the neo-Schumpeterian and evolutionary economic tradition share with Green Keynesians the assumption of strong complementarity between environmental sustainability and economic growth and the belief that green stimulus (under appropriate conditions) is a desirable means of achieving it </w:t>
      </w:r>
      <w:r w:rsidRPr="00D5205A">
        <w:fldChar w:fldCharType="begin" w:fldLock="1"/>
      </w:r>
      <w:r w:rsidR="006208B4">
        <w:instrText>ADDIN CSL_CITATION {"citationItems":[{"id":"ITEM-1","itemData":{"DOI":"10.1038/s41558-020-0739-7","ISBN":"4155802007","ISSN":"17586798","abstract":"From carbon pricing to green industrial policy, economic ideas have shaped climate policy. Drawing on a new dataset of policy reports, we show how economic ideas influenced climate policy advice by major international organizations, including the Organisation for Economic Cooperation and Development and the World Bank, from 1990 to 2017. In the 1990s, the neoclassical notion of weak complementarity between environmental protection and growth dominated debates on sustainable development. In the mid-2000s, economic thought on the environment diversified, as the idea of strong complementarity between environmental protection and growth emerged in the green growth discourse. Adaptations of Schumpeterian and Keynesian economics identified investment in energy innovation and infrastructure as drivers of growth. We thus identify a major transformation from a neoclassical paradigm to a diversified policy discourse, suggesting that climate policy has entered a postparadigmatic period. The diversification of ideas broadened policy advice from market-based policy to green industrial policy, including deployment subsidies and regulation.","author":[{"dropping-particle":"","family":"Meckling","given":"Jonas","non-dropping-particle":"","parse-names":false,"suffix":""},{"dropping-particle":"","family":"Allan","given":"Bentley B.","non-dropping-particle":"","parse-names":false,"suffix":""}],"container-title":"Nature Climate Change","id":"ITEM-1","issue":"5","issued":{"date-parts":[["2020"]]},"page":"434-438","publisher":"Springer US","title":"The evolution of ideas in global climate policy","type":"article-journal","volume":"10"},"locator":"434","uris":["http://www.mendeley.com/documents/?uuid=4ebd675f-72a9-46e3-b482-072105b5bbfe"]}],"mendeley":{"formattedCitation":"(Meckling &amp; Allan, 2020, p. 434)","plainTextFormattedCitation":"(Meckling &amp; Allan, 2020, p. 434)","previouslyFormattedCitation":"(Meckling and Allan 2020, 434)"},"properties":{"noteIndex":0},"schema":"https://github.com/citation-style-language/schema/raw/master/csl-citation.json"}</w:instrText>
      </w:r>
      <w:r w:rsidRPr="00D5205A">
        <w:fldChar w:fldCharType="separate"/>
      </w:r>
      <w:r w:rsidR="006208B4" w:rsidRPr="006208B4">
        <w:rPr>
          <w:noProof/>
        </w:rPr>
        <w:t>(Meckling &amp; Allan, 2020, p. 434)</w:t>
      </w:r>
      <w:r w:rsidRPr="00D5205A">
        <w:fldChar w:fldCharType="end"/>
      </w:r>
      <w:r w:rsidRPr="00D5205A">
        <w:t xml:space="preserve">. However, they argue that this is insufficient and that the state needs to </w:t>
      </w:r>
      <w:r w:rsidRPr="00D5205A">
        <w:lastRenderedPageBreak/>
        <w:t xml:space="preserve">play a more active role in creating and shaping market outcomes in the service of innovating towards specific societal goals or “missions”, including decarbonisation. Further, they argue that this necessitates the use of a wider set of policy tools, including not only those mentioned above in relation to Green Keynesianism, but also public investment in the research, development and demonstration of zero-emissions technologies, sectoral and cross-cutting regulation, the coordination of fiscal and monetary policy, and the creation or repurposing of state investment banks </w:t>
      </w:r>
      <w:r w:rsidRPr="00D5205A">
        <w:fldChar w:fldCharType="begin" w:fldLock="1"/>
      </w:r>
      <w:r w:rsidR="006208B4">
        <w:instrText>ADDIN CSL_CITATION {"citationItems":[{"id":"ITEM-1","itemData":{"DOI":"10.1080/17487870.2022.2053537","ISSN":"1748-7870","author":[{"dropping-particle":"","family":"Mazzucato","given":"Mariana","non-dropping-particle":"","parse-names":false,"suffix":""},{"dropping-particle":"","family":"Ryan-Collins","given":"Josh","non-dropping-particle":"","parse-names":false,"suffix":""}],"container-title":"Journal of Economic Policy Reform","id":"ITEM-1","issue":"00","issued":{"date-parts":[["2022"]]},"page":"1-16","publisher":"Routledge","title":"Putting value creation back into “public value”: from market-fixing to market-shaping","type":"article-journal","volume":"00"},"uris":["http://www.mendeley.com/documents/?uuid=b1fe1c82-2685-4f3d-adb5-7197eca9e82d"]},{"id":"ITEM-2","itemData":{"author":[{"dropping-particle":"","family":"Mazzucato","given":"Mariana","non-dropping-particle":"","parse-names":false,"suffix":""}],"chapter-number":"9","container-title":"The politics of green transformations","editor":[{"dropping-particle":"","family":"Scoones","given":"Ian","non-dropping-particle":"","parse-names":false,"suffix":""},{"dropping-particle":"","family":"Leach","given":"Melissa","non-dropping-particle":"","parse-names":false,"suffix":""},{"dropping-particle":"","family":"Newell","given":"Peter","non-dropping-particle":"","parse-names":false,"suffix":""}],"id":"ITEM-2","issued":{"date-parts":[["2015"]]},"page":"134-152","publisher":"Routledge","publisher-place":"Oxford","title":"The Green Entrepreneurial State","type":"chapter"},"uris":["http://www.mendeley.com/documents/?uuid=09e4c5f0-8fd8-4a1a-8636-ea0943433313"]},{"id":"ITEM-3","itemData":{"DOI":"10.1007/978-3-030-84288-8_7","ISBN":"9783030842888","author":[{"dropping-particle":"","family":"Kedward","given":"Katie","non-dropping-particle":"","parse-names":false,"suffix":""},{"dropping-particle":"","family":"Ryan-Collins","given":"Josh","non-dropping-particle":"","parse-names":false,"suffix":""}],"container-title":"Economic Policies for Sustainability and Resilience","editor":[{"dropping-particle":"","family":"Arestis","given":"Philip","non-dropping-particle":"","parse-names":false,"suffix":""},{"dropping-particle":"","family":"Sawyer","given":"Malcolm","non-dropping-particle":"","parse-names":false,"suffix":""}],"id":"ITEM-3","issued":{"date-parts":[["2022"]]},"page":"269-317","publisher":"Palgrave Macmillan","title":"A Green New Deal: Opportunities and Constraints","type":"chapter"},"uris":["http://www.mendeley.com/documents/?uuid=ad709183-be36-4599-9ddf-e17abd61a524"]},{"id":"ITEM-4","itemData":{"DOI":"10.1016/j.eist.2012.12.004","ISSN":"22104224","abstract":"The current crisis is not a \"black swan\" but a recurrent historical event midway along the successive technological revolutions. In contrast with other crises, the ones that follow the major technology bubbles install a vast innovation potential that can be unleashed with adequate government policies. The so-called golden ages in the past two centuries (the Victorian boom, the Belle Époque, the post war golden age) have followed post-bubble recessions. After governments save the banks and jump-start the economy, they need to regulate and reorient finance toward the real economy while fostering synergistic growth in agreed directions. The article holds that the possibility is there for unleashing a golden age-national and global-by tilting the playing field in favor of \"green growth\". The question is whether the conditions for government to become proactive again are as favorable as after WWII. © 2012 Elsevier B.V. All rights reserved.","author":[{"dropping-particle":"","family":"Perez","given":"Carlota","non-dropping-particle":"","parse-names":false,"suffix":""}],"container-title":"Environmental Innovation and Societal Transitions","id":"ITEM-4","issued":{"date-parts":[["2013"]]},"page":"9-23","publisher":"Elsevier B.V.","title":"Unleashing a golden age after the financial collapse: Drawing lessons from history","type":"article-journal","volume":"6"},"uris":["http://www.mendeley.com/documents/?uuid=6c63537b-8135-4b54-9160-2b34d495ae8c"]},{"id":"ITEM-5","itemData":{"author":[{"dropping-particle":"","family":"Mazzucato","given":"Mariana","non-dropping-particle":"","parse-names":false,"suffix":""}],"id":"ITEM-5","issued":{"date-parts":[["2021"]]},"publisher":"Allen Lane","title":"Mission Economy: A Moonshot Guide to Changing Capitalism","type":"book"},"uris":["http://www.mendeley.com/documents/?uuid=a00afd4a-b810-467c-a92f-64b10937397a"]}],"mendeley":{"formattedCitation":"(Kedward &amp; Ryan-Collins, 2022; Mazzucato, 2015, 2021; Mazzucato &amp; Ryan-Collins, 2022; Perez, 2013)","plainTextFormattedCitation":"(Kedward &amp; Ryan-Collins, 2022; Mazzucato, 2015, 2021; Mazzucato &amp; Ryan-Collins, 2022; Perez, 2013)","previouslyFormattedCitation":"(Kedward and Ryan-Collins 2022; Mazzucato 2015, 2021; Mazzucato and Ryan-Collins 2022; Perez 2013)"},"properties":{"noteIndex":0},"schema":"https://github.com/citation-style-language/schema/raw/master/csl-citation.json"}</w:instrText>
      </w:r>
      <w:r w:rsidRPr="00D5205A">
        <w:fldChar w:fldCharType="separate"/>
      </w:r>
      <w:r w:rsidR="006208B4" w:rsidRPr="006208B4">
        <w:rPr>
          <w:noProof/>
        </w:rPr>
        <w:t>(Kedward &amp; Ryan-Collins, 2022; Mazzucato, 2015, 2021; Mazzucato &amp; Ryan-Collins, 2022; Perez, 2013)</w:t>
      </w:r>
      <w:r w:rsidRPr="00D5205A">
        <w:fldChar w:fldCharType="end"/>
      </w:r>
      <w:r w:rsidRPr="00D5205A">
        <w:t xml:space="preserve">. As these citations indicate, this climate policy paradigm has been prominently articulated by the economist Mariana Mazzucato and her colleagues. </w:t>
      </w:r>
    </w:p>
    <w:p w14:paraId="3B475013" w14:textId="2BE22571" w:rsidR="00D5205A" w:rsidRPr="00D5205A" w:rsidRDefault="00D5205A" w:rsidP="00D5205A">
      <w:r w:rsidRPr="00D5205A">
        <w:t xml:space="preserve">This paradigm, with its emphasis on the multidimensional role of the state within a complex innovation system, is relatively open to the notion of a mixed economy in which the state is also an owner of productive assets </w:t>
      </w:r>
      <w:r w:rsidRPr="00D5205A">
        <w:fldChar w:fldCharType="begin" w:fldLock="1"/>
      </w:r>
      <w:r w:rsidR="006208B4">
        <w:instrText>ADDIN CSL_CITATION {"citationItems":[{"id":"ITEM-1","itemData":{"author":[{"dropping-particle":"","family":"Mazzucato","given":"Mariana","non-dropping-particle":"","parse-names":false,"suffix":""}],"id":"ITEM-1","issued":{"date-parts":[["2013"]]},"publisher":"Anthem","publisher-place":"London","title":"The Entrepreneurial State: Debunking Private vs Public Sector Myths","type":"book"},"uris":["http://www.mendeley.com/documents/?uuid=ffa81700-749b-4097-b300-cf95eed1ed28"]}],"mendeley":{"formattedCitation":"(Mazzucato, 2013)","plainTextFormattedCitation":"(Mazzucato, 2013)","previouslyFormattedCitation":"(Mazzucato 2013)"},"properties":{"noteIndex":0},"schema":"https://github.com/citation-style-language/schema/raw/master/csl-citation.json"}</w:instrText>
      </w:r>
      <w:r w:rsidRPr="00D5205A">
        <w:fldChar w:fldCharType="separate"/>
      </w:r>
      <w:r w:rsidR="006208B4" w:rsidRPr="006208B4">
        <w:rPr>
          <w:noProof/>
        </w:rPr>
        <w:t>(Mazzucato, 2013)</w:t>
      </w:r>
      <w:r w:rsidRPr="00D5205A">
        <w:fldChar w:fldCharType="end"/>
      </w:r>
      <w:r w:rsidRPr="00D5205A">
        <w:t xml:space="preserve">. The paradigm has also influenced recent thinking and policy on the subject of “green industrial policy” </w:t>
      </w:r>
      <w:r w:rsidRPr="00D5205A">
        <w:fldChar w:fldCharType="begin" w:fldLock="1"/>
      </w:r>
      <w:r w:rsidR="006208B4">
        <w:instrText>ADDIN CSL_CITATION {"citationItems":[{"id":"ITEM-1","itemData":{"DOI":"10.1093/oxrep/gru025","author":[{"dropping-particle":"","family":"Rodrik","given":"Dani","non-dropping-particle":"","parse-names":false,"suffix":""}],"container-title":"Oxford Review of Economic Policy","id":"ITEM-1","issue":"3","issued":{"date-parts":[["2015"]]},"page":"469-491","title":"Green industrial policy","type":"article-journal","volume":"30"},"prefix":"e.g.,","uris":["http://www.mendeley.com/documents/?uuid=28dd509f-4420-4f13-aff6-71beacd66e06"]}],"mendeley":{"formattedCitation":"(e.g., Rodrik, 2015)","plainTextFormattedCitation":"(e.g., Rodrik, 2015)","previouslyFormattedCitation":"(e.g., Rodrik 2015)"},"properties":{"noteIndex":0},"schema":"https://github.com/citation-style-language/schema/raw/master/csl-citation.json"}</w:instrText>
      </w:r>
      <w:r w:rsidRPr="00D5205A">
        <w:fldChar w:fldCharType="separate"/>
      </w:r>
      <w:r w:rsidR="006208B4" w:rsidRPr="006208B4">
        <w:rPr>
          <w:noProof/>
        </w:rPr>
        <w:t>(e.g., Rodrik, 2015)</w:t>
      </w:r>
      <w:r w:rsidRPr="00D5205A">
        <w:fldChar w:fldCharType="end"/>
      </w:r>
      <w:r w:rsidRPr="00D5205A">
        <w:t>.</w:t>
      </w:r>
    </w:p>
    <w:p w14:paraId="098B3CB4" w14:textId="47986CF1" w:rsidR="004D4D9E" w:rsidRDefault="00A835B9" w:rsidP="006208B4">
      <w:pPr>
        <w:ind w:left="720"/>
      </w:pPr>
      <w:r>
        <w:t>A go</w:t>
      </w:r>
      <w:r w:rsidR="00D269B6">
        <w:t>o</w:t>
      </w:r>
      <w:r>
        <w:t xml:space="preserve">d </w:t>
      </w:r>
      <w:r w:rsidR="00D269B6">
        <w:t xml:space="preserve">example of a </w:t>
      </w:r>
      <w:r w:rsidR="004D4D9E">
        <w:t>GG–evolutionary</w:t>
      </w:r>
      <w:r w:rsidR="00D269B6">
        <w:t xml:space="preserve"> paradigm from our EC sample is this document</w:t>
      </w:r>
      <w:r w:rsidR="004D4D9E">
        <w:t xml:space="preserve">: </w:t>
      </w:r>
      <w:hyperlink r:id="rId12" w:history="1">
        <w:r w:rsidR="004D4D9E" w:rsidRPr="00C27357">
          <w:rPr>
            <w:rStyle w:val="Hyperlink"/>
          </w:rPr>
          <w:t>https://eur-lex.europa.eu/legal-content/EN/TXT/?uri=CELEX:52012DC0501</w:t>
        </w:r>
      </w:hyperlink>
      <w:r w:rsidR="004D4D9E">
        <w:t xml:space="preserve"> </w:t>
      </w:r>
    </w:p>
    <w:p w14:paraId="196806F7" w14:textId="233E96B3" w:rsidR="00DE7EC4" w:rsidRPr="00DE7EC4" w:rsidRDefault="00DE7EC4" w:rsidP="00DE7EC4">
      <w:pPr>
        <w:ind w:left="720"/>
      </w:pPr>
      <w:r>
        <w:t xml:space="preserve">Another example (without a specific document but one you may come across): </w:t>
      </w:r>
      <w:r>
        <w:br/>
      </w:r>
      <w:r w:rsidRPr="00DE7EC4">
        <w:t>A major piece of legislation following Covid has been NextGenerationEU, which contains the Recovery and Resilience Fund. This is both GG-Keynesian (stimulating green demand in a crisis) and GG-evolutionary (using it to promote more transformative change).</w:t>
      </w:r>
    </w:p>
    <w:p w14:paraId="0C7A93EB" w14:textId="332823C0" w:rsidR="00B464AD" w:rsidRDefault="00B464AD" w:rsidP="00DE7EC4">
      <w:pPr>
        <w:pStyle w:val="Heading2"/>
      </w:pPr>
      <w:r w:rsidRPr="00B464AD">
        <w:t xml:space="preserve">Post-growth </w:t>
      </w:r>
    </w:p>
    <w:p w14:paraId="554B4821" w14:textId="05D44557" w:rsidR="00B464AD" w:rsidRPr="00B464AD" w:rsidRDefault="00B464AD" w:rsidP="00B464AD">
      <w:r w:rsidRPr="00B464AD">
        <w:t xml:space="preserve">This is a broad paradigm that encompasses multiple strands of thought. It is intended to encompass policies that aim at environmental or social benefits (including redistributive and pre-distributive policies) for their own sake, </w:t>
      </w:r>
      <w:r w:rsidRPr="00B464AD">
        <w:rPr>
          <w:i/>
          <w:iCs/>
        </w:rPr>
        <w:t>regardless</w:t>
      </w:r>
      <w:r w:rsidRPr="00B464AD">
        <w:t xml:space="preserve"> of the economic consequences. Scholars in this paradigm reject or at least question the positive relationship between economic growth and environmental sustainability </w:t>
      </w:r>
      <w:r w:rsidRPr="00B464AD">
        <w:fldChar w:fldCharType="begin" w:fldLock="1"/>
      </w:r>
      <w:r w:rsidR="006208B4">
        <w:instrText>ADDIN CSL_CITATION {"citationItems":[{"id":"ITEM-1","itemData":{"DOI":"10.1038/s41558-020-0739-7","ISBN":"4155802007","ISSN":"17586798","abstract":"From carbon pricing to green industrial policy, economic ideas have shaped climate policy. Drawing on a new dataset of policy reports, we show how economic ideas influenced climate policy advice by major international organizations, including the Organisation for Economic Cooperation and Development and the World Bank, from 1990 to 2017. In the 1990s, the neoclassical notion of weak complementarity between environmental protection and growth dominated debates on sustainable development. In the mid-2000s, economic thought on the environment diversified, as the idea of strong complementarity between environmental protection and growth emerged in the green growth discourse. Adaptations of Schumpeterian and Keynesian economics identified investment in energy innovation and infrastructure as drivers of growth. We thus identify a major transformation from a neoclassical paradigm to a diversified policy discourse, suggesting that climate policy has entered a postparadigmatic period. The diversification of ideas broadened policy advice from market-based policy to green industrial policy, including deployment subsidies and regulation.","author":[{"dropping-particle":"","family":"Meckling","given":"Jonas","non-dropping-particle":"","parse-names":false,"suffix":""},{"dropping-particle":"","family":"Allan","given":"Bentley B.","non-dropping-particle":"","parse-names":false,"suffix":""}],"container-title":"Nature Climate Change","id":"ITEM-1","issue":"5","issued":{"date-parts":[["2020"]]},"page":"434-438","publisher":"Springer US","title":"The evolution of ideas in global climate policy","type":"article-journal","volume":"10"},"locator":"435","uris":["http://www.mendeley.com/documents/?uuid=4ebd675f-72a9-46e3-b482-072105b5bbfe"]}],"mendeley":{"formattedCitation":"(Meckling &amp; Allan, 2020, p. 435)","plainTextFormattedCitation":"(Meckling &amp; Allan, 2020, p. 435)","previouslyFormattedCitation":"(Meckling and Allan 2020, 435)"},"properties":{"noteIndex":0},"schema":"https://github.com/citation-style-language/schema/raw/master/csl-citation.json"}</w:instrText>
      </w:r>
      <w:r w:rsidRPr="00B464AD">
        <w:fldChar w:fldCharType="separate"/>
      </w:r>
      <w:r w:rsidR="006208B4" w:rsidRPr="006208B4">
        <w:rPr>
          <w:noProof/>
        </w:rPr>
        <w:t>(Meckling &amp; Allan, 2020, p. 435)</w:t>
      </w:r>
      <w:r w:rsidRPr="00B464AD">
        <w:fldChar w:fldCharType="end"/>
      </w:r>
      <w:r w:rsidRPr="00B464AD">
        <w:t xml:space="preserve">. </w:t>
      </w:r>
    </w:p>
    <w:p w14:paraId="441AFC25" w14:textId="50E44E76" w:rsidR="00B464AD" w:rsidRDefault="00B464AD" w:rsidP="00B464AD">
      <w:r w:rsidRPr="00B464AD">
        <w:t xml:space="preserve">The paradigms origins can be traced to the “limits to growth” modelling </w:t>
      </w:r>
      <w:r w:rsidRPr="00B464AD">
        <w:fldChar w:fldCharType="begin" w:fldLock="1"/>
      </w:r>
      <w:r w:rsidR="006208B4">
        <w:instrText>ADDIN CSL_CITATION {"citationItems":[{"id":"ITEM-1","itemData":{"author":[{"dropping-particle":"","family":"Meadows","given":"Donella","non-dropping-particle":"","parse-names":false,"suffix":""},{"dropping-particle":"","family":"Meadows","given":"Dennis","non-dropping-particle":"","parse-names":false,"suffix":""},{"dropping-particle":"","family":"Randers","given":"Jørgen","non-dropping-particle":"","parse-names":false,"suffix":""},{"dropping-particle":"","family":"Beerens III","given":"William","non-dropping-particle":"","parse-names":false,"suffix":""}],"id":"ITEM-1","issued":{"date-parts":[["1974"]]},"publisher":"Pan","publisher-place":"London","title":"The Limits to Growth","type":"book"},"uris":["http://www.mendeley.com/documents/?uuid=180c7af6-29cf-4ada-96ba-1a516866615f"]}],"mendeley":{"formattedCitation":"(Meadows et al., 1974)","plainTextFormattedCitation":"(Meadows et al., 1974)","previouslyFormattedCitation":"(Meadows et al. 1974)"},"properties":{"noteIndex":0},"schema":"https://github.com/citation-style-language/schema/raw/master/csl-citation.json"}</w:instrText>
      </w:r>
      <w:r w:rsidRPr="00B464AD">
        <w:fldChar w:fldCharType="separate"/>
      </w:r>
      <w:r w:rsidR="006208B4" w:rsidRPr="006208B4">
        <w:rPr>
          <w:noProof/>
        </w:rPr>
        <w:t>(Meadows et al., 1974)</w:t>
      </w:r>
      <w:r w:rsidRPr="00B464AD">
        <w:fldChar w:fldCharType="end"/>
      </w:r>
      <w:r w:rsidRPr="00B464AD">
        <w:t xml:space="preserve"> and ecological-economic thought of Herman Daly </w:t>
      </w:r>
      <w:r w:rsidRPr="00B464AD">
        <w:fldChar w:fldCharType="begin" w:fldLock="1"/>
      </w:r>
      <w:r w:rsidR="006208B4">
        <w:instrText>ADDIN CSL_CITATION {"citationItems":[{"id":"ITEM-1","itemData":{"author":[{"dropping-particle":"","family":"Daly","given":"Herman","non-dropping-particle":"","parse-names":false,"suffix":""}],"id":"ITEM-1","issued":{"date-parts":[["1977"]]},"publisher":"W. H. Freeman","publisher-place":"San Francisco","title":"Steady-state economics. The Economics of Biophysical Equilibrium And Moral Growth","type":"book"},"label":"chapter","prefix":"e.g.,","uris":["http://www.mendeley.com/documents/?uuid=1e359309-dc97-4688-b674-ef16696b115c"]}],"mendeley":{"formattedCitation":"(e.g., Daly, 1977)","plainTextFormattedCitation":"(e.g., Daly, 1977)","previouslyFormattedCitation":"(e.g., Daly 1977)"},"properties":{"noteIndex":0},"schema":"https://github.com/citation-style-language/schema/raw/master/csl-citation.json"}</w:instrText>
      </w:r>
      <w:r w:rsidRPr="00B464AD">
        <w:fldChar w:fldCharType="separate"/>
      </w:r>
      <w:r w:rsidR="006208B4" w:rsidRPr="006208B4">
        <w:rPr>
          <w:noProof/>
        </w:rPr>
        <w:t>(e.g., Daly, 1977)</w:t>
      </w:r>
      <w:r w:rsidRPr="00B464AD">
        <w:fldChar w:fldCharType="end"/>
      </w:r>
      <w:r w:rsidRPr="00B464AD">
        <w:t xml:space="preserve">. Contemporary proponents often draw on “planetary boundaries” theories that posit thresholds in the biogeophysical systems on which humans depend, beyond which planetary conditions will tip into states unfit for human civilisation </w:t>
      </w:r>
      <w:r w:rsidRPr="00B464AD">
        <w:fldChar w:fldCharType="begin" w:fldLock="1"/>
      </w:r>
      <w:r w:rsidR="006208B4">
        <w:instrText>ADDIN CSL_CITATION {"citationItems":[{"id":"ITEM-1","itemData":{"DOI":"10.1126/science.1259855","author":[{"dropping-particle":"","family":"Steffen","given":"Will","non-dropping-particle":"","parse-names":false,"suffix":""},{"dropping-particle":"","family":"Richardson","given":"Katherine","non-dropping-particle":"","parse-names":false,"suffix":""},{"dropping-particle":"","family":"Rockström","given":"Johan","non-dropping-particle":"","parse-names":false,"suffix":""},{"dropping-particle":"","family":"Cornell","given":"Sarah E.","non-dropping-particle":"","parse-names":false,"suffix":""},{"dropping-particle":"","family":"Fetzer","given":"Ingo","non-dropping-particle":"","parse-names":false,"suffix":""},{"dropping-particle":"","family":"Bennett","given":"Elena M.","non-dropping-particle":"","parse-names":false,"suffix":""},{"dropping-particle":"","family":"Biggs","given":"Reinette","non-dropping-particle":"","parse-names":false,"suffix":""},{"dropping-particle":"","family":"Carpenter","given":"Stephen R.","non-dropping-particle":"","parse-names":false,"suffix":""},{"dropping-particle":"","family":"Vries","given":"Wim","non-dropping-particle":"de","parse-names":false,"suffix":""},{"dropping-particle":"","family":"Wit","given":"Cynthia A.","non-dropping-particle":"de","parse-names":false,"suffix":""},{"dropping-particle":"","family":"Folke","given":"Carl","non-dropping-particle":"","parse-names":false,"suffix":""},{"dropping-particle":"","family":"Gerten","given":"Dieter","non-dropping-particle":"","parse-names":false,"suffix":""},{"dropping-particle":"","family":"Heinke","given":"Jens","non-dropping-particle":"","parse-names":false,"suffix":""},{"dropping-particle":"","family":"Mace","given":"Georgina M.","non-dropping-particle":"","parse-names":false,"suffix":""},{"dropping-particle":"","family":"Persson","given":"Linn M.","non-dropping-particle":"","parse-names":false,"suffix":""},{"dropping-particle":"","family":"Ramanathan","given":"Veerabhadran","non-dropping-particle":"","parse-names":false,"suffix":""},{"dropping-particle":"","family":"Reyers","given":"Belinda","non-dropping-particle":"","parse-names":false,"suffix":""},{"dropping-particle":"","family":"Sörlin","given":"Sverker","non-dropping-particle":"","parse-names":false,"suffix":""}],"container-title":"Science","id":"ITEM-1","issue":"6223","issued":{"date-parts":[["2015"]]},"page":"n.1259855","title":"Planetary boundaries: Guiding human development on a changing planet","type":"article-journal","volume":"347"},"uris":["http://www.mendeley.com/documents/?uuid=29482618-1a4b-4e5c-a91e-f7349c6834e9"]},{"id":"ITEM-2","itemData":{"author":[{"dropping-particle":"","family":"Rockström","given":"Johan","non-dropping-particle":"","parse-names":false,"suffix":""},{"dropping-particle":"","family":"Steffen","given":"Will","non-dropping-particle":"","parse-names":false,"suffix":""},{"dropping-particle":"","family":"Noone","given":"Kevin","non-dropping-particle":"","parse-names":false,"suffix":""},{"dropping-particle":"","family":"Persson","given":"Åsa","non-dropping-particle":"","parse-names":false,"suffix":""},{"dropping-particle":"","family":"Chapin III","given":"F. Stuart","non-dropping-particle":"","parse-names":false,"suffix":""},{"dropping-particle":"","family":"Lambin","given":"Eric F.","non-dropping-particle":"","parse-names":false,"suffix":""},{"dropping-particle":"","family":"Lenton","given":"Timothy M.","non-dropping-particle":"","parse-names":false,"suffix":""},{"dropping-particle":"","family":"Scheffer","given":"Marten","non-dropping-particle":"","parse-names":false,"suffix":""},{"dropping-particle":"","family":"Folke","given":"Carl","non-dropping-particle":"","parse-names":false,"suffix":""},{"dropping-particle":"","family":"Schellnhuber","given":"Hans Joachim","non-dropping-particle":"","parse-names":false,"suffix":""},{"dropping-particle":"","family":"Nykvist","given":"Björn","non-dropping-particle":"","parse-names":false,"suffix":""},{"dropping-particle":"","family":"Wit","given":"Cynthia A.","non-dropping-particle":"De","parse-names":false,"suffix":""},{"dropping-particle":"","family":"Hughes","given":"Terry","non-dropping-particle":"","parse-names":false,"suffix":""},{"dropping-particle":"","family":"Leeuw","given":"Sander","non-dropping-particle":"van der","parse-names":false,"suffix":""},{"dropping-particle":"","family":"Rodhe","given":"Henning","non-dropping-particle":"","parse-names":false,"suffix":""},{"dropping-particle":"","family":"Sörlin","given":"Sverker","non-dropping-particle":"","parse-names":false,"suffix":""},{"dropping-particle":"","family":"Snyder","given":"Peter K.","non-dropping-particle":"","parse-names":false,"suffix":""},{"dropping-particle":"","family":"Costanza","given":"Robert","non-dropping-particle":"","parse-names":false,"suffix":""},{"dropping-particle":"","family":"Svedin","given":"Uno","non-dropping-particle":"","parse-names":false,"suffix":""},{"dropping-particle":"","family":"Falkenmark","given":"Malin","non-dropping-particle":"","parse-names":false,"suffix":""},{"dropping-particle":"","family":"Karlberg","given":"Louise","non-dropping-particle":"","parse-names":false,"suffix":""},{"dropping-particle":"","family":"Corell","given":"Robert W.","non-dropping-particle":"","parse-names":false,"suffix":""},{"dropping-particle":"","family":"Fabry","given":"Victoria J.","non-dropping-particle":"","parse-names":false,"suffix":""},{"dropping-particle":"","family":"Hansen","given":"James","non-dropping-particle":"","parse-names":false,"suffix":""},{"dropping-particle":"","family":"Walker","given":"Brian","non-dropping-particle":"","parse-names":false,"suffix":""},{"dropping-particle":"","family":"Liverman","given":"Diana","non-dropping-particle":"","parse-names":false,"suffix":""},{"dropping-particle":"","family":"Richardson","given":"Katherine","non-dropping-particle":"","parse-names":false,"suffix":""},{"dropping-particle":"","family":"Crutzen","given":"Paul","non-dropping-particle":"","parse-names":false,"suffix":""},{"dropping-particle":"","family":"Foley","given":"Jonathan A.","non-dropping-particle":"","parse-names":false,"suffix":""}],"container-title":"Nature","id":"ITEM-2","issued":{"date-parts":[["2009"]]},"page":"472-475","title":"A safe operating space for humanity","type":"article-journal","volume":"461"},"uris":["http://www.mendeley.com/documents/?uuid=8fcee72e-e753-4ecc-b61e-e5bcac92c709"]}],"mendeley":{"formattedCitation":"(Rockström et al., 2009; Steffen et al., 2015)","plainTextFormattedCitation":"(Rockström et al., 2009; Steffen et al., 2015)","previouslyFormattedCitation":"(Rockström et al. 2009; Steffen et al. 2015)"},"properties":{"noteIndex":0},"schema":"https://github.com/citation-style-language/schema/raw/master/csl-citation.json"}</w:instrText>
      </w:r>
      <w:r w:rsidRPr="00B464AD">
        <w:fldChar w:fldCharType="separate"/>
      </w:r>
      <w:r w:rsidR="006208B4" w:rsidRPr="006208B4">
        <w:rPr>
          <w:noProof/>
        </w:rPr>
        <w:t>(Rockström et al., 2009; Steffen et al., 2015)</w:t>
      </w:r>
      <w:r w:rsidRPr="00B464AD">
        <w:fldChar w:fldCharType="end"/>
      </w:r>
      <w:r w:rsidRPr="00B464AD">
        <w:t xml:space="preserve">. Measures consistent with this approach include those that aim to regulate to achieve biophysical outcomes (e.g., aggregate GHG emissions </w:t>
      </w:r>
      <w:r w:rsidRPr="00B464AD">
        <w:lastRenderedPageBreak/>
        <w:t>targets; aggregate air or water pollution limits, etc.</w:t>
      </w:r>
      <w:r w:rsidR="002C7872">
        <w:t xml:space="preserve">; </w:t>
      </w:r>
      <w:r w:rsidR="00155A7C">
        <w:t>‘</w:t>
      </w:r>
      <w:r w:rsidR="002C7872">
        <w:t>circular economy</w:t>
      </w:r>
      <w:r w:rsidR="00155A7C">
        <w:t>’ policies</w:t>
      </w:r>
      <w:r w:rsidRPr="00B464AD">
        <w:t xml:space="preserve">)—regardless of their effect on economic activity. </w:t>
      </w:r>
    </w:p>
    <w:p w14:paraId="6C73E99B" w14:textId="66422944" w:rsidR="00586239" w:rsidRPr="001A4529" w:rsidRDefault="00FE4A5B" w:rsidP="00FC6994">
      <w:pPr>
        <w:ind w:left="720"/>
      </w:pPr>
      <w:r w:rsidRPr="001A4529">
        <w:t>A good</w:t>
      </w:r>
      <w:r w:rsidR="00586239" w:rsidRPr="001A4529">
        <w:t>, clear</w:t>
      </w:r>
      <w:r w:rsidRPr="001A4529">
        <w:t xml:space="preserve"> example of </w:t>
      </w:r>
      <w:r w:rsidR="009A619E" w:rsidRPr="001A4529">
        <w:t xml:space="preserve">a growth-agnostic environmental focus </w:t>
      </w:r>
      <w:r w:rsidRPr="001A4529">
        <w:t xml:space="preserve">is this document: </w:t>
      </w:r>
      <w:hyperlink r:id="rId13" w:history="1">
        <w:r w:rsidR="00D46B9C" w:rsidRPr="001A4529">
          <w:rPr>
            <w:rStyle w:val="Hyperlink"/>
          </w:rPr>
          <w:t>https://eur-lex.europa.eu/legal-content/EN/TXT/?uri=CELEX:52021PC0555</w:t>
        </w:r>
      </w:hyperlink>
      <w:r w:rsidR="00D46B9C" w:rsidRPr="001A4529">
        <w:t xml:space="preserve"> </w:t>
      </w:r>
      <w:r w:rsidR="00586239" w:rsidRPr="001A4529">
        <w:t>(exclusive focus on climate targets)</w:t>
      </w:r>
      <w:r w:rsidR="00CF0C3E" w:rsidRPr="001A4529">
        <w:t>.</w:t>
      </w:r>
    </w:p>
    <w:p w14:paraId="4C58FC33" w14:textId="2A631566" w:rsidR="00A671FC" w:rsidRPr="001A4529" w:rsidRDefault="00A671FC" w:rsidP="00FC6994">
      <w:pPr>
        <w:ind w:left="720"/>
      </w:pPr>
      <w:r w:rsidRPr="001A4529">
        <w:t xml:space="preserve">Another is </w:t>
      </w:r>
      <w:hyperlink r:id="rId14" w:history="1">
        <w:r w:rsidRPr="001A4529">
          <w:rPr>
            <w:rStyle w:val="Hyperlink"/>
          </w:rPr>
          <w:t>https://eur-lex.europa.eu/legal-content/EN/TXT/?uri=CELEX:52023PC0416</w:t>
        </w:r>
      </w:hyperlink>
      <w:r w:rsidRPr="001A4529">
        <w:t xml:space="preserve"> </w:t>
      </w:r>
      <w:r w:rsidR="001A4529" w:rsidRPr="001A4529">
        <w:t xml:space="preserve">— this should be post-growth as the primary label, </w:t>
      </w:r>
      <w:r w:rsidRPr="001A4529">
        <w:t>given the key focus on soils as non-renewable resources</w:t>
      </w:r>
      <w:r w:rsidR="001A4529" w:rsidRPr="001A4529">
        <w:t>. But evolutionary would be a secondary label.</w:t>
      </w:r>
    </w:p>
    <w:p w14:paraId="15AF5F7F" w14:textId="58C9E592" w:rsidR="00FE4A5B" w:rsidRPr="0072427B" w:rsidRDefault="00AC10EC" w:rsidP="00FC6994">
      <w:pPr>
        <w:ind w:left="720"/>
        <w:rPr>
          <w:highlight w:val="yellow"/>
        </w:rPr>
      </w:pPr>
      <w:r>
        <w:t xml:space="preserve">A more difficult example is this one about battery waste, which </w:t>
      </w:r>
      <w:r w:rsidR="00200C40">
        <w:t xml:space="preserve">is probably  neoclassical in its main aim (main objectives focused on fair competition) but also </w:t>
      </w:r>
      <w:r w:rsidR="00821559">
        <w:t>includes post-growth element</w:t>
      </w:r>
      <w:r w:rsidR="00200C40">
        <w:t>s</w:t>
      </w:r>
      <w:r w:rsidR="00821559">
        <w:t xml:space="preserve"> in its aim</w:t>
      </w:r>
      <w:r w:rsidR="00200C40">
        <w:t>s</w:t>
      </w:r>
      <w:r w:rsidR="00821559">
        <w:t xml:space="preserve">, </w:t>
      </w:r>
      <w:r w:rsidR="00200C40">
        <w:t xml:space="preserve">including </w:t>
      </w:r>
      <w:r w:rsidR="00821559">
        <w:t xml:space="preserve">circular economy </w:t>
      </w:r>
      <w:r w:rsidR="00200C40">
        <w:t xml:space="preserve">and </w:t>
      </w:r>
      <w:r w:rsidR="002C7872">
        <w:t xml:space="preserve">social/environmental goals (so </w:t>
      </w:r>
      <w:r w:rsidR="00FB0991">
        <w:t xml:space="preserve">post-growth as the </w:t>
      </w:r>
      <w:r w:rsidR="002C7872">
        <w:t>secondary label</w:t>
      </w:r>
      <w:r w:rsidR="00FB0991">
        <w:t>) and also evolutionary due to new technologies for batter</w:t>
      </w:r>
      <w:r w:rsidR="00941A66">
        <w:t>y</w:t>
      </w:r>
      <w:r w:rsidR="00FB0991">
        <w:t xml:space="preserve"> recycling being key tools to achieve the goals (tertiary label)</w:t>
      </w:r>
      <w:r>
        <w:t xml:space="preserve"> </w:t>
      </w:r>
      <w:hyperlink r:id="rId15" w:history="1">
        <w:r w:rsidRPr="00E844DA">
          <w:rPr>
            <w:rStyle w:val="Hyperlink"/>
          </w:rPr>
          <w:t>https://eur-lex.europa.eu/legal-content/EN/TXT/?uri=CELEX:52020PC0798</w:t>
        </w:r>
      </w:hyperlink>
      <w:r w:rsidR="00586239">
        <w:t xml:space="preserve"> </w:t>
      </w:r>
      <w:r w:rsidR="00CF0C3E" w:rsidRPr="0072427B">
        <w:rPr>
          <w:highlight w:val="yellow"/>
        </w:rPr>
        <w:t xml:space="preserve">  </w:t>
      </w:r>
    </w:p>
    <w:p w14:paraId="284266AF" w14:textId="22789705" w:rsidR="004F09F6" w:rsidRDefault="00B12B0F" w:rsidP="00B12B0F">
      <w:r w:rsidRPr="00B464AD">
        <w:t xml:space="preserve">Within a post-growth framework, scholars acknowledge that there would remain ample space for the kinds of public investments in energy technologies typically associated with the green-growth paradigms, and for the associated growth of some sectors, i.e. those necessary for environmental and social sustainability </w:t>
      </w:r>
      <w:r w:rsidRPr="00B464AD">
        <w:fldChar w:fldCharType="begin" w:fldLock="1"/>
      </w:r>
      <w:r w:rsidR="006208B4">
        <w:instrText>ADDIN CSL_CITATION {"citationItems":[{"id":"ITEM-1","itemData":{"DOI":"10.1016/j.ecolecon.2020.106832","ISSN":"09218009","abstract":"The IPCC warns that in order to keep global warming under 1.5°, global emissions must be cut to zero by 2050. Policymakers and scholars debate how best to decarbonise the energy system, and what socio-economic changes might be necessary. Here we review the strengths, weaknesses, and synergies of two prominent climate change mitigation narratives: the Green New Deal and degrowth. Green New Deal advocates propose a plan to coordinate and finance a large-scale overhaul of the energy system. Some see economic growth as crucial to financing this transition, and claim that the Green New Deal will further stimulate growth. By contrast, proponents of degrowth maintain that growth makes it more difficult to accomplish emissions reductions, and argue for reducing the scale of energy use to enable a rapid energy transition. The two narratives converge on the importance of public investments for financing the energy transition, industrial policies to lead the decarbonisation of the economy, socializing the energy sector to allow longer investment horizons, and expanding the welfare state to increase social protection. We conclude that despite important tensions, there is room for synthesizing Green New Deal and degrowth-minded approaches into a ‘Green New Deal without growth’.","author":[{"dropping-particle":"","family":"Mastini","given":"Riccardo","non-dropping-particle":"","parse-names":false,"suffix":""},{"dropping-particle":"","family":"Kallis","given":"Giorgos","non-dropping-particle":"","parse-names":false,"suffix":""},{"dropping-particle":"","family":"Hickel","given":"Jason","non-dropping-particle":"","parse-names":false,"suffix":""}],"container-title":"Ecological Economics","id":"ITEM-1","issue":"n.106832","issued":{"date-parts":[["2021"]]},"publisher":"Elsevier","title":"A Green New Deal without growth?","type":"article-journal","volume":"179"},"uris":["http://www.mendeley.com/documents/?uuid=4a07d69e-99db-4fc4-be92-5fb3bde6c6e1"]}],"mendeley":{"formattedCitation":"(Mastini et al., 2021)","plainTextFormattedCitation":"(Mastini et al., 2021)","previouslyFormattedCitation":"(Mastini, Kallis, and Hickel 2021)"},"properties":{"noteIndex":0},"schema":"https://github.com/citation-style-language/schema/raw/master/csl-citation.json"}</w:instrText>
      </w:r>
      <w:r w:rsidRPr="00B464AD">
        <w:fldChar w:fldCharType="separate"/>
      </w:r>
      <w:r w:rsidR="006208B4" w:rsidRPr="006208B4">
        <w:rPr>
          <w:noProof/>
        </w:rPr>
        <w:t>(Mastini et al., 2021)</w:t>
      </w:r>
      <w:r w:rsidRPr="00B464AD">
        <w:fldChar w:fldCharType="end"/>
      </w:r>
      <w:r w:rsidRPr="00B464AD">
        <w:t>. Accordingly, some policy documents</w:t>
      </w:r>
      <w:r w:rsidR="000D5B66">
        <w:t xml:space="preserve"> will </w:t>
      </w:r>
      <w:r w:rsidRPr="00B464AD">
        <w:t xml:space="preserve">exhibit both post-growth and green growth elements. </w:t>
      </w:r>
    </w:p>
    <w:p w14:paraId="3A7B1220" w14:textId="340C35FA" w:rsidR="00B12B0F" w:rsidRPr="00B464AD" w:rsidRDefault="000D5B66" w:rsidP="004F09F6">
      <w:pPr>
        <w:ind w:left="720"/>
      </w:pPr>
      <w:r w:rsidRPr="008065FA">
        <w:t xml:space="preserve">The </w:t>
      </w:r>
      <w:r w:rsidR="007D547F" w:rsidRPr="008065FA">
        <w:t xml:space="preserve">above-mentioned </w:t>
      </w:r>
      <w:hyperlink r:id="rId16" w:history="1">
        <w:r w:rsidRPr="008065FA">
          <w:rPr>
            <w:rStyle w:val="Hyperlink"/>
          </w:rPr>
          <w:t xml:space="preserve">methane </w:t>
        </w:r>
        <w:r w:rsidR="007D547F" w:rsidRPr="008065FA">
          <w:rPr>
            <w:rStyle w:val="Hyperlink"/>
          </w:rPr>
          <w:t>policy</w:t>
        </w:r>
      </w:hyperlink>
      <w:r w:rsidRPr="008065FA">
        <w:t xml:space="preserve"> is a good example of this, as it contains a market-creation</w:t>
      </w:r>
      <w:r w:rsidR="004F09F6" w:rsidRPr="008065FA">
        <w:t xml:space="preserve">/boosting aspect (e.g., “targeted support to accelerate the development of the market for biogas from sustainable sources”). Accordingly, that document should be coded post-growth (primary) and </w:t>
      </w:r>
      <w:r w:rsidR="00114629" w:rsidRPr="008065FA">
        <w:t>GG-</w:t>
      </w:r>
      <w:r w:rsidR="008065FA" w:rsidRPr="008065FA">
        <w:t>evolutionary</w:t>
      </w:r>
      <w:r w:rsidR="00114629" w:rsidRPr="008065FA">
        <w:t xml:space="preserve"> (secondary).</w:t>
      </w:r>
    </w:p>
    <w:p w14:paraId="2374D3E7" w14:textId="262CAD1F" w:rsidR="00114629" w:rsidRPr="00B464AD" w:rsidRDefault="00114629" w:rsidP="00114629">
      <w:r w:rsidRPr="00B464AD">
        <w:t xml:space="preserve">What distinguishes post-growth advocates is that they typically argue that the reductions in the emissions intensity of energy, and in the energy-intensity of economic output, that new technologies can bring is insufficient: reduction in overall consumption itself is ultimately necessary </w:t>
      </w:r>
      <w:r w:rsidRPr="00B464AD">
        <w:fldChar w:fldCharType="begin" w:fldLock="1"/>
      </w:r>
      <w:r w:rsidR="006208B4">
        <w:instrText>ADDIN CSL_CITATION {"citationItems":[{"id":"ITEM-1","itemData":{"author":[{"dropping-particle":"","family":"Gough","given":"Ian","non-dropping-particle":"","parse-names":false,"suffix":""}],"id":"ITEM-1","issued":{"date-parts":[["2017"]]},"publisher":"Edward Elgar","publisher-place":"Cheltenham","title":"Heat, Greed and Human Need: Climate Change, Capitalism and Sustainable Wellbeing","type":"book"},"uris":["http://www.mendeley.com/documents/?uuid=e10c774b-5e72-46ca-9d22-da76ae27f05f"]},{"id":"ITEM-2","itemData":{"DOI":"10.1016/j.ecolecon.2020.106832","ISSN":"09218009","abstract":"The IPCC warns that in order to keep global warming under 1.5°, global emissions must be cut to zero by 2050. Policymakers and scholars debate how best to decarbonise the energy system, and what socio-economic changes might be necessary. Here we review the strengths, weaknesses, and synergies of two prominent climate change mitigation narratives: the Green New Deal and degrowth. Green New Deal advocates propose a plan to coordinate and finance a large-scale overhaul of the energy system. Some see economic growth as crucial to financing this transition, and claim that the Green New Deal will further stimulate growth. By contrast, proponents of degrowth maintain that growth makes it more difficult to accomplish emissions reductions, and argue for reducing the scale of energy use to enable a rapid energy transition. The two narratives converge on the importance of public investments for financing the energy transition, industrial policies to lead the decarbonisation of the economy, socializing the energy sector to allow longer investment horizons, and expanding the welfare state to increase social protection. We conclude that despite important tensions, there is room for synthesizing Green New Deal and degrowth-minded approaches into a ‘Green New Deal without growth’.","author":[{"dropping-particle":"","family":"Mastini","given":"Riccardo","non-dropping-particle":"","parse-names":false,"suffix":""},{"dropping-particle":"","family":"Kallis","given":"Giorgos","non-dropping-particle":"","parse-names":false,"suffix":""},{"dropping-particle":"","family":"Hickel","given":"Jason","non-dropping-particle":"","parse-names":false,"suffix":""}],"container-title":"Ecological Economics","id":"ITEM-2","issue":"n.106832","issued":{"date-parts":[["2021"]]},"publisher":"Elsevier","title":"A Green New Deal without growth?","type":"article-journal","volume":"179"},"uris":["http://www.mendeley.com/documents/?uuid=4a07d69e-99db-4fc4-be92-5fb3bde6c6e1"]}],"mendeley":{"formattedCitation":"(Gough, 2017; Mastini et al., 2021)","plainTextFormattedCitation":"(Gough, 2017; Mastini et al., 2021)","previouslyFormattedCitation":"(Gough 2017; Mastini, Kallis, and Hickel 2021)"},"properties":{"noteIndex":0},"schema":"https://github.com/citation-style-language/schema/raw/master/csl-citation.json"}</w:instrText>
      </w:r>
      <w:r w:rsidRPr="00B464AD">
        <w:fldChar w:fldCharType="separate"/>
      </w:r>
      <w:r w:rsidR="006208B4" w:rsidRPr="006208B4">
        <w:rPr>
          <w:noProof/>
        </w:rPr>
        <w:t>(Gough, 2017; Mastini et al., 2021)</w:t>
      </w:r>
      <w:r w:rsidRPr="00B464AD">
        <w:fldChar w:fldCharType="end"/>
      </w:r>
      <w:r w:rsidRPr="00B464AD">
        <w:t>. Accordingly, proposals for eco-labelling, extended producer responsibility for consumer products, and circular economy will tend to exhibit at least some post-growth elements (even if not exclusively so).</w:t>
      </w:r>
      <w:r w:rsidR="00064B5B">
        <w:t xml:space="preserve"> </w:t>
      </w:r>
    </w:p>
    <w:p w14:paraId="0F046540" w14:textId="42F9116F" w:rsidR="00B464AD" w:rsidRPr="00B464AD" w:rsidRDefault="00B464AD" w:rsidP="00B464AD">
      <w:r w:rsidRPr="00B464AD">
        <w:t>Some proponents of this paradigm go further</w:t>
      </w:r>
      <w:r w:rsidR="00FC6994">
        <w:t xml:space="preserve"> than simply being agnostic/unconcerned about the growth implications of </w:t>
      </w:r>
      <w:r w:rsidR="00B12B0F">
        <w:t>climate policies,</w:t>
      </w:r>
      <w:r w:rsidRPr="00B464AD">
        <w:t xml:space="preserve"> arguing that sufficiently extensive and urgent climate mitigation is </w:t>
      </w:r>
      <w:r w:rsidRPr="00B464AD">
        <w:rPr>
          <w:i/>
          <w:iCs/>
        </w:rPr>
        <w:t>incompatible</w:t>
      </w:r>
      <w:r w:rsidRPr="00B464AD">
        <w:t xml:space="preserve"> with broad-based economic (GDP) growth. </w:t>
      </w:r>
      <w:r w:rsidRPr="00B464AD">
        <w:lastRenderedPageBreak/>
        <w:t xml:space="preserve">They advocate, rather, for “degrowth”, which has been defined as an </w:t>
      </w:r>
      <w:r w:rsidRPr="00B464AD">
        <w:rPr>
          <w:i/>
          <w:iCs/>
        </w:rPr>
        <w:t>equitable downscaling of material throughput to ecologically sustainable levels</w:t>
      </w:r>
      <w:r w:rsidRPr="00B464AD">
        <w:t xml:space="preserve">, and a refocusing of economic activity toward securing a decent level of wellbeing for all </w:t>
      </w:r>
      <w:r w:rsidRPr="00B464AD">
        <w:fldChar w:fldCharType="begin" w:fldLock="1"/>
      </w:r>
      <w:r w:rsidR="006208B4">
        <w:instrText>ADDIN CSL_CITATION {"citationItems":[{"id":"ITEM-1","itemData":{"DOI":"10.1146/annurev-environ-102017-025941","ISSN":"15435938","abstract":"Scholars and activists mobilize increasingly the term degrowth when producing knowledge critical of the ideology and costs of growth-based development. Degrowth signals a radical political and economic reorganization leading to reduced resource and energy use. The degrowth hypothesis posits that such a trajectory of social transformation is necessary, desirable, and possible; the conditions of its realization require additional study. Research on degrowth has reinvigorated the limits to growth debate with critical examination of the historical, cultural, social, and political forces that have made economic growth a dominant objective. Here we review studies of economic stability in the absence of growth and of societies that have managed well without growth. We reflect on forms of technology and democracy com-patible with degrowth and discuss plausible openings for a degrowth transition. This dynamic and productive research agenda asks inconvenient questions that sustainability sciences can no longer afford to ignore.","author":[{"dropping-particle":"","family":"Kallis","given":"Giorgos","non-dropping-particle":"","parse-names":false,"suffix":""},{"dropping-particle":"","family":"Kostakis","given":"Vasilis","non-dropping-particle":"","parse-names":false,"suffix":""},{"dropping-particle":"","family":"Lange","given":"Steffen","non-dropping-particle":"","parse-names":false,"suffix":""},{"dropping-particle":"","family":"Muraca","given":"Barbara","non-dropping-particle":"","parse-names":false,"suffix":""},{"dropping-particle":"","family":"Paulson","given":"Susan","non-dropping-particle":"","parse-names":false,"suffix":""},{"dropping-particle":"","family":"Schmelzer","given":"Matthias","non-dropping-particle":"","parse-names":false,"suffix":""}],"container-title":"Annual Review of Environment and Resources","id":"ITEM-1","issued":{"date-parts":[["2018"]]},"page":"291-316","title":"Research on Degrowth","type":"article-journal","volume":"43"},"uris":["http://www.mendeley.com/documents/?uuid=5f7a903e-961f-459d-9ebd-6a60da095d02"]},{"id":"ITEM-2","itemData":{"DOI":"10.1038/s41893-018-0021-4","ISBN":"2398-9629","ISSN":"2398-9629","PMID":"19779433","abstract":"Humanity faces the challenge of how to achieve a high quality of life for over 7 billion people without destabilizing critical planetary processes. Using indicators designed to measure a ‘safe and just’ development space, we quantify the resource use associated with meeting basic human needs, and compare this to downscaled planetary boundaries for over 150 nations. We find that no country meets basic needs for its citizens at a globally sustainable level of resource use. Physical needs such as nutrition, sanitation, access to electricity and the elimination of extreme poverty could likely be met for all people without transgressing planetary boundaries. However, the universal achievement of more qualitative goals (for example, high life satis- faction) would require a level of resource use that is 2–6 times the sustainable level, based on current relationships. Strategies to improve physical and social provisioning systems, with a focus on sufficiency and equity, have the potential to move nations towards sustainability, but the challenge remains substantial.","author":[{"dropping-particle":"","family":"O’Neill","given":"Daniel W.","non-dropping-particle":"","parse-names":false,"suffix":""},{"dropping-particle":"","family":"Fanning","given":"Andrew L.","non-dropping-particle":"","parse-names":false,"suffix":""},{"dropping-particle":"","family":"Lamb","given":"William F.","non-dropping-particle":"","parse-names":false,"suffix":""},{"dropping-particle":"","family":"Steinberger","given":"Julia K.","non-dropping-particle":"","parse-names":false,"suffix":""}],"container-title":"Nature Sustainability","id":"ITEM-2","issue":"2","issued":{"date-parts":[["2018"]]},"page":"88-95","title":"A good life for all within planetary boundaries","type":"article-journal","volume":"1"},"uris":["http://www.mendeley.com/documents/?uuid=5bbb0515-3dd1-4d90-8d4f-4707a68083e3"]},{"id":"ITEM-3","itemData":{"DOI":"10.1016/j.gloenvcha.2021.102287","ISSN":"0959-3780","author":[{"dropping-particle":"","family":"Vogel","given":"Jefim","non-dropping-particle":"","parse-names":false,"suffix":""},{"dropping-particle":"","family":"Steinberger","given":"Julia K.","non-dropping-particle":"","parse-names":false,"suffix":""},{"dropping-particle":"","family":"Neill","given":"Daniel W. O.","non-dropping-particle":"","parse-names":false,"suffix":""},{"dropping-particle":"","family":"Lamb","given":"William F.","non-dropping-particle":"","parse-names":false,"suffix":""}],"container-title":"Global Environmental Change","id":"ITEM-3","issued":{"date-parts":[["2021"]]},"page":"n.102287","publisher":"Elsevier Ltd","title":"Socio-economic conditions for satisfying human needs at low energy use: An international analysis of social provisioning","type":"article-journal","volume":"69"},"uris":["http://www.mendeley.com/documents/?uuid=f265d6a6-720c-4679-a96b-2db18c81bf18"]},{"id":"ITEM-4","itemData":{"author":[{"dropping-particle":"","family":"Gough","given":"Ian","non-dropping-particle":"","parse-names":false,"suffix":""}],"id":"ITEM-4","issued":{"date-parts":[["2017"]]},"publisher":"Edward Elgar","publisher-place":"Cheltenham","title":"Heat, Greed and Human Need: Climate Change, Capitalism and Sustainable Wellbeing","type":"book"},"uris":["http://www.mendeley.com/documents/?uuid=e10c774b-5e72-46ca-9d22-da76ae27f05f"]},{"id":"ITEM-5","itemData":{"DOI":"10.1177/0486613419831109","ISSN":"15528502","abstract":"The planet is on a path to catastrophic warming which calls for structural changes in the operation of Global North economies, not merely a transformation of energy sources, the core of “green growth” approaches. Our research on inequality and working time shows that these are powerful drivers of carbon emissions that can be the center of a progressive agenda supplementing energy transition. Our work also shows that disproportionality in emissions sources presents a policy opportunity. We challenge Pollin’s view that only growth-centric approaches are politically viable, and argue that progressive politics has moved from growth-centricity to needs- and people-centered policies. In our response, we argue that the recent rise of the Green New Deal is a strong piece of evidence for our position. JEL Classification: Q5, Q54, Q56","author":[{"dropping-particle":"","family":"Schor","given":"Juliet B.","non-dropping-particle":"","parse-names":false,"suffix":""},{"dropping-particle":"","family":"Jorgenson","given":"Andrew K.","non-dropping-particle":"","parse-names":false,"suffix":""}],"container-title":"Review of Radical Political Economics","id":"ITEM-5","issue":"2","issued":{"date-parts":[["2019"]]},"page":"320-329","title":"Is it Too Late for Growth?","type":"article-journal","volume":"51"},"uris":["http://www.mendeley.com/documents/?uuid=fdc37e87-ce48-447f-aeaa-94688a3e9e6c"]},{"id":"ITEM-6","itemData":{"author":[{"dropping-particle":"","family":"Aronoff","given":"Kate","non-dropping-particle":"","parse-names":false,"suffix":""},{"dropping-particle":"","family":"Battistoni","given":"Alyssa","non-dropping-particle":"","parse-names":false,"suffix":""},{"dropping-particle":"","family":"Cohen","given":"Daniel Aldana","non-dropping-particle":"","parse-names":false,"suffix":""},{"dropping-particle":"","family":"Riofrancos","given":"Thea","non-dropping-particle":"","parse-names":false,"suffix":""}],"id":"ITEM-6","issued":{"date-parts":[["2019"]]},"publisher":"Verso","publisher-place":"London","title":"A Planet to Win: Why We Need a Green New Deal","type":"book"},"uris":["http://www.mendeley.com/documents/?uuid=6f292ca3-71ae-490f-b623-f056e3b5a18c"]}],"mendeley":{"formattedCitation":"(Aronoff et al., 2019; Gough, 2017; Kallis et al., 2018; O’Neill et al., 2018; Schor &amp; Jorgenson, 2019; Vogel et al., 2021)","plainTextFormattedCitation":"(Aronoff et al., 2019; Gough, 2017; Kallis et al., 2018; O’Neill et al., 2018; Schor &amp; Jorgenson, 2019; Vogel et al., 2021)","previouslyFormattedCitation":"(Aronoff et al. 2019; Gough 2017; Kallis et al. 2018; O’Neill et al. 2018; Schor and Jorgenson 2019; Vogel et al. 2021)"},"properties":{"noteIndex":0},"schema":"https://github.com/citation-style-language/schema/raw/master/csl-citation.json"}</w:instrText>
      </w:r>
      <w:r w:rsidRPr="00B464AD">
        <w:fldChar w:fldCharType="separate"/>
      </w:r>
      <w:r w:rsidR="006208B4" w:rsidRPr="006208B4">
        <w:rPr>
          <w:noProof/>
        </w:rPr>
        <w:t>(Aronoff et al., 2019; Gough, 2017; Kallis et al., 2018; O’Neill et al., 2018; Schor &amp; Jorgenson, 2019; Vogel et al., 2021)</w:t>
      </w:r>
      <w:r w:rsidRPr="00B464AD">
        <w:fldChar w:fldCharType="end"/>
      </w:r>
      <w:r w:rsidRPr="00B464AD">
        <w:t xml:space="preserve">. The material upscaling needed to secure universal decent living for everyone in a context of overall declining material throughput and GHG emissions would require large cuts to </w:t>
      </w:r>
      <w:r w:rsidRPr="00B464AD">
        <w:rPr>
          <w:i/>
          <w:iCs/>
        </w:rPr>
        <w:t>luxury</w:t>
      </w:r>
      <w:r w:rsidRPr="00B464AD">
        <w:t xml:space="preserve"> consumption and a much more equal distribution of income and wealth </w:t>
      </w:r>
      <w:r w:rsidRPr="00B464AD">
        <w:fldChar w:fldCharType="begin" w:fldLock="1"/>
      </w:r>
      <w:r w:rsidR="006208B4">
        <w:instrText>ADDIN CSL_CITATION {"citationItems":[{"id":"ITEM-1","itemData":{"DOI":"10.1038/s41467-020-16941-y","ISSN":"20411723","PMID":"32561753","abstract":"For over half a century, worldwide growth in affluence has continuously increased resource use and pollutant emissions far more rapidly than these have been reduced through better technology. The affluent citizens of the world are responsible for most environmental impacts and are central to any future prospect of retreating to safer environmental conditions. We summarise the evidence and present possible solution approaches. Any transition towards sustainability can only be effective if far-reaching lifestyle changes complement technological advancements. However, existing societies, economies and cultures incite consumption expansion and the structural imperative for growth in competitive market economies inhibits necessary societal change.","author":[{"dropping-particle":"","family":"Wiedmann","given":"Thomas","non-dropping-particle":"","parse-names":false,"suffix":""},{"dropping-particle":"","family":"Lenzen","given":"Manfred","non-dropping-particle":"","parse-names":false,"suffix":""},{"dropping-particle":"","family":"Keyßer","given":"Lorenz T.","non-dropping-particle":"","parse-names":false,"suffix":""},{"dropping-particle":"","family":"Steinberger","given":"Julia K.","non-dropping-particle":"","parse-names":false,"suffix":""}],"container-title":"Nature Communications","id":"ITEM-1","issue":"n.3107","issued":{"date-parts":[["2020"]]},"title":"Scientists’ warning on affluence","type":"article-journal","volume":"11"},"uris":["http://www.mendeley.com/documents/?uuid=8fc62020-f768-4be8-8008-7d6cf424130e"]},{"id":"ITEM-2","itemData":{"author":[{"dropping-particle":"","family":"Kikstra","given":"Jarmo S.","non-dropping-particle":"","parse-names":false,"suffix":""},{"dropping-particle":"","family":"Mastrucci","given":"Alessio","non-dropping-particle":"","parse-names":false,"suffix":""},{"dropping-particle":"","family":"Min","given":"Jihoon","non-dropping-particle":"","parse-names":false,"suffix":""},{"dropping-particle":"","family":"Riahi","given":"Keywan","non-dropping-particle":"","parse-names":false,"suffix":""},{"dropping-particle":"","family":"Rao","given":"Narasimha D.","non-dropping-particle":"","parse-names":false,"suffix":""}],"container-title":"Environmental Research Letters","id":"ITEM-2","issued":{"date-parts":[["2021"]]},"page":"n.095006","title":"Decent living gaps and energy needs around the world","type":"article-journal","volume":"16"},"uris":["http://www.mendeley.com/documents/?uuid=ba0fa335-b8d2-4d02-90c4-e57386ad5c1e"]},{"id":"ITEM-3","itemData":{"author":[{"dropping-particle":"","family":"Oswald","given":"Yannick","non-dropping-particle":"","parse-names":false,"suffix":""},{"dropping-particle":"","family":"Steinberger","given":"Julia K.","non-dropping-particle":"","parse-names":false,"suffix":""},{"dropping-particle":"","family":"Ivanova","given":"Diana","non-dropping-particle":"","parse-names":false,"suffix":""},{"dropping-particle":"","family":"Millward-Hopkins","given":"Joel","non-dropping-particle":"","parse-names":false,"suffix":""}],"container-title":"Global Sustainability","id":"ITEM-3","issue":"2021","issued":{"date-parts":[["2021"]]},"title":"Global redistribution of income and household energy footprints: a computational thought experiment","type":"article-journal","volume":"4"},"uris":["http://www.mendeley.com/documents/?uuid=2488cb52-426e-4c6c-908f-6159958fea12"]},{"id":"ITEM-4","itemData":{"DOI":"10.1016/j.gloenvcha.2021.102287","ISSN":"0959-3780","author":[{"dropping-particle":"","family":"Vogel","given":"Jefim","non-dropping-particle":"","parse-names":false,"suffix":""},{"dropping-particle":"","family":"Steinberger","given":"Julia K.","non-dropping-particle":"","parse-names":false,"suffix":""},{"dropping-particle":"","family":"Neill","given":"Daniel W. O.","non-dropping-particle":"","parse-names":false,"suffix":""},{"dropping-particle":"","family":"Lamb","given":"William F.","non-dropping-particle":"","parse-names":false,"suffix":""}],"container-title":"Global Environmental Change","id":"ITEM-4","issued":{"date-parts":[["2021"]]},"page":"n.102287","publisher":"Elsevier Ltd","title":"Socio-economic conditions for satisfying human needs at low energy use: An international analysis of social provisioning","type":"article-journal","volume":"69"},"uris":["http://www.mendeley.com/documents/?uuid=f265d6a6-720c-4679-a96b-2db18c81bf18"]},{"id":"ITEM-5","itemData":{"DOI":"10.1038/nclimate2340","ISSN":"1758-678X","author":[{"dropping-particle":"","family":"Rao","given":"Narasimha D","non-dropping-particle":"","parse-names":false,"suffix":""},{"dropping-particle":"","family":"Riahi","given":"Keywan","non-dropping-particle":"","parse-names":false,"suffix":""},{"dropping-particle":"","family":"Grubler","given":"Arnulf","non-dropping-particle":"","parse-names":false,"suffix":""}],"container-title":"Nature","id":"ITEM-5","issued":{"date-parts":[["2014"]]},"page":"749-751","publisher":"Nature Publishing Group","title":"Climate impacts of poverty eradication","type":"article-journal","volume":"4"},"uris":["http://www.mendeley.com/documents/?uuid=0f3e59aa-8ee7-414b-8444-9c3c636d4e3f"]},{"id":"ITEM-6","itemData":{"DOI":"10.1002/wcc.513","author":[{"dropping-particle":"","family":"Rao","given":"Narasimha D","non-dropping-particle":"","parse-names":false,"suffix":""},{"dropping-particle":"","family":"Min","given":"Jihoon","non-dropping-particle":"","parse-names":false,"suffix":""}],"container-title":"WIREs Climate Change","id":"ITEM-6","issued":{"date-parts":[["2018"]]},"page":"e513","title":"Less global inequality can improve climate outcomes","type":"article-journal","volume":"9"},"uris":["http://www.mendeley.com/documents/?uuid=3c82bc59-a277-48c0-b02b-c3eedc436d5c"]}],"mendeley":{"formattedCitation":"(Kikstra et al., 2021; Oswald et al., 2021; Rao et al., 2014; Rao &amp; Min, 2018; Vogel et al., 2021; Wiedmann et al., 2020)","plainTextFormattedCitation":"(Kikstra et al., 2021; Oswald et al., 2021; Rao et al., 2014; Rao &amp; Min, 2018; Vogel et al., 2021; Wiedmann et al., 2020)","previouslyFormattedCitation":"(Kikstra et al. 2021; Oswald et al. 2021; Rao and Min 2018; Rao, Riahi, and Grubler 2014; Vogel et al. 2021; Wiedmann et al. 2020)"},"properties":{"noteIndex":0},"schema":"https://github.com/citation-style-language/schema/raw/master/csl-citation.json"}</w:instrText>
      </w:r>
      <w:r w:rsidRPr="00B464AD">
        <w:fldChar w:fldCharType="separate"/>
      </w:r>
      <w:r w:rsidR="006208B4" w:rsidRPr="006208B4">
        <w:rPr>
          <w:noProof/>
        </w:rPr>
        <w:t>(Kikstra et al., 2021; Oswald et al., 2021; Rao et al., 2014; Rao &amp; Min, 2018; Vogel et al., 2021; Wiedmann et al., 2020)</w:t>
      </w:r>
      <w:r w:rsidRPr="00B464AD">
        <w:fldChar w:fldCharType="end"/>
      </w:r>
      <w:r w:rsidRPr="00B464AD">
        <w:t xml:space="preserve">. Achieving these goals requires fundamental reforms to taxation, finance, corporate governance, ownership structures, labour markets, product regulation, service provision, social policy, and much more </w:t>
      </w:r>
      <w:r w:rsidRPr="00B464AD">
        <w:fldChar w:fldCharType="begin" w:fldLock="1"/>
      </w:r>
      <w:r w:rsidR="006208B4">
        <w:instrText>ADDIN CSL_CITATION {"citationItems":[{"id":"ITEM-1","itemData":{"DOI":"10.1016/j.ecolecon.2020.106832","ISSN":"09218009","abstract":"The IPCC warns that in order to keep global warming under 1.5°, global emissions must be cut to zero by 2050. Policymakers and scholars debate how best to decarbonise the energy system, and what socio-economic changes might be necessary. Here we review the strengths, weaknesses, and synergies of two prominent climate change mitigation narratives: the Green New Deal and degrowth. Green New Deal advocates propose a plan to coordinate and finance a large-scale overhaul of the energy system. Some see economic growth as crucial to financing this transition, and claim that the Green New Deal will further stimulate growth. By contrast, proponents of degrowth maintain that growth makes it more difficult to accomplish emissions reductions, and argue for reducing the scale of energy use to enable a rapid energy transition. The two narratives converge on the importance of public investments for financing the energy transition, industrial policies to lead the decarbonisation of the economy, socializing the energy sector to allow longer investment horizons, and expanding the welfare state to increase social protection. We conclude that despite important tensions, there is room for synthesizing Green New Deal and degrowth-minded approaches into a ‘Green New Deal without growth’.","author":[{"dropping-particle":"","family":"Mastini","given":"Riccardo","non-dropping-particle":"","parse-names":false,"suffix":""},{"dropping-particle":"","family":"Kallis","given":"Giorgos","non-dropping-particle":"","parse-names":false,"suffix":""},{"dropping-particle":"","family":"Hickel","given":"Jason","non-dropping-particle":"","parse-names":false,"suffix":""}],"container-title":"Ecological Economics","id":"ITEM-1","issue":"n.106832","issued":{"date-parts":[["2021"]]},"publisher":"Elsevier","title":"A Green New Deal without growth?","type":"article-journal","volume":"179"},"uris":["http://www.mendeley.com/documents/?uuid=4a07d69e-99db-4fc4-be92-5fb3bde6c6e1"]},{"id":"ITEM-2","itemData":{"author":[{"dropping-particle":"","family":"Gough","given":"Ian","non-dropping-particle":"","parse-names":false,"suffix":""}],"id":"ITEM-2","issued":{"date-parts":[["2017"]]},"publisher":"Edward Elgar","publisher-place":"Cheltenham","title":"Heat, Greed and Human Need: Climate Change, Capitalism and Sustainable Wellbeing","type":"book"},"uris":["http://www.mendeley.com/documents/?uuid=e10c774b-5e72-46ca-9d22-da76ae27f05f"]},{"id":"ITEM-3","itemData":{"author":[{"dropping-particle":"","family":"Green","given":"Fergus","non-dropping-particle":"","parse-names":false,"suffix":""},{"dropping-particle":"","family":"Healy","given":"Noel","non-dropping-particle":"","parse-names":false,"suffix":""}],"container-title":"One Earth","id":"ITEM-3","issue":"6","issued":{"date-parts":[["2022"]]},"page":"635-649","title":"How Inequality Fuels Climate Change: The Climate Case for a Green New Deal","type":"article-journal","volume":"5"},"uris":["http://www.mendeley.com/documents/?uuid=c87c55be-a567-43b5-b6f0-ced34da40efb"]}],"mendeley":{"formattedCitation":"(Gough, 2017; Green &amp; Healy, 2022; Mastini et al., 2021)","plainTextFormattedCitation":"(Gough, 2017; Green &amp; Healy, 2022; Mastini et al., 2021)","previouslyFormattedCitation":"(Gough 2017; Green and Healy 2022; Mastini, Kallis, and Hickel 2021)"},"properties":{"noteIndex":0},"schema":"https://github.com/citation-style-language/schema/raw/master/csl-citation.json"}</w:instrText>
      </w:r>
      <w:r w:rsidRPr="00B464AD">
        <w:fldChar w:fldCharType="separate"/>
      </w:r>
      <w:r w:rsidR="006208B4" w:rsidRPr="006208B4">
        <w:rPr>
          <w:noProof/>
        </w:rPr>
        <w:t>(Gough, 2017; Green &amp; Healy, 2022; Mastini et al., 2021)</w:t>
      </w:r>
      <w:r w:rsidRPr="00B464AD">
        <w:fldChar w:fldCharType="end"/>
      </w:r>
      <w:r w:rsidRPr="00B464AD">
        <w:t>. However, such policies are rarely discussed in the climate context.</w:t>
      </w:r>
    </w:p>
    <w:p w14:paraId="36AD0CBC" w14:textId="77777777" w:rsidR="00B464AD" w:rsidRPr="00B464AD" w:rsidRDefault="00B464AD" w:rsidP="00B464AD">
      <w:r w:rsidRPr="00B464AD">
        <w:t xml:space="preserve">One area in which a concern for social welfare is increasingly reflected in climate policy discussions around the world is the notion of a “just transition” for workers, communities and (on some definitions) consumers who are entangled in the high-carbon economy. The thought is that the state should support these groups to transition to a lower-carbon economy. The first three paradigms do not inherently incorporate just-transition concerns, goals and policies within their ambit. This does not mean that these paradigms are antithetical to just transition concerns, merely that just transition policies would need to be an ‘add-on’ to climate policies predicated on any of these paradigms. By contrast, the explicit concern of post-growth theories with the egalitarian distribution of human wellbeing and the incorporation of social policy into its instruments means that just transition-related concerns, goals and policy instruments can readily be incorporated into post-growth paradigmatic climate policy. </w:t>
      </w:r>
    </w:p>
    <w:p w14:paraId="4F5A5F3B" w14:textId="4CF38526" w:rsidR="00C1679A" w:rsidRDefault="004D21D6" w:rsidP="00045AD9">
      <w:pPr>
        <w:ind w:left="720"/>
      </w:pPr>
      <w:r w:rsidRPr="004D21D6">
        <w:t>Accordingly, just transition initiatives such as the Social Climate Fund</w:t>
      </w:r>
      <w:r>
        <w:t xml:space="preserve"> should be coded as ‘Post-Growth’.</w:t>
      </w:r>
      <w:r w:rsidR="00045AD9">
        <w:t xml:space="preserve"> See, e.g.: </w:t>
      </w:r>
      <w:hyperlink r:id="rId17" w:history="1">
        <w:r w:rsidR="00045AD9" w:rsidRPr="00E844DA">
          <w:rPr>
            <w:rStyle w:val="Hyperlink"/>
          </w:rPr>
          <w:t>https://eur-lex.europa.eu/legal-content/EN/TXT/?uri=CELEX:52021PC0568</w:t>
        </w:r>
      </w:hyperlink>
      <w:r w:rsidR="00045AD9">
        <w:t xml:space="preserve"> </w:t>
      </w:r>
    </w:p>
    <w:p w14:paraId="4A90CA88" w14:textId="2AB7E327" w:rsidR="00D30583" w:rsidRPr="00D30583" w:rsidRDefault="00D30583">
      <w:pPr>
        <w:rPr>
          <w:b/>
          <w:bCs/>
        </w:rPr>
      </w:pPr>
      <w:r>
        <w:rPr>
          <w:b/>
          <w:bCs/>
        </w:rPr>
        <w:t>Bibliogrpahy</w:t>
      </w:r>
    </w:p>
    <w:p w14:paraId="1E73D1D6" w14:textId="4E203931" w:rsidR="006208B4" w:rsidRPr="006208B4" w:rsidRDefault="00D30583" w:rsidP="006208B4">
      <w:pPr>
        <w:widowControl w:val="0"/>
        <w:autoSpaceDE w:val="0"/>
        <w:autoSpaceDN w:val="0"/>
        <w:adjustRightInd w:val="0"/>
        <w:spacing w:line="240" w:lineRule="auto"/>
        <w:ind w:left="480" w:hanging="480"/>
        <w:rPr>
          <w:rFonts w:ascii="Aptos" w:hAnsi="Aptos" w:cs="Times New Roman"/>
          <w:noProof/>
          <w:kern w:val="0"/>
        </w:rPr>
      </w:pPr>
      <w:r>
        <w:fldChar w:fldCharType="begin" w:fldLock="1"/>
      </w:r>
      <w:r>
        <w:instrText xml:space="preserve">ADDIN Mendeley Bibliography CSL_BIBLIOGRAPHY </w:instrText>
      </w:r>
      <w:r>
        <w:fldChar w:fldCharType="separate"/>
      </w:r>
      <w:r w:rsidR="006208B4" w:rsidRPr="006208B4">
        <w:rPr>
          <w:rFonts w:ascii="Aptos" w:hAnsi="Aptos" w:cs="Times New Roman"/>
          <w:noProof/>
          <w:kern w:val="0"/>
        </w:rPr>
        <w:t xml:space="preserve">Allan, B. B., &amp; Meckling, J. O. (2023). Creative Learning and Policy Ideas: The Global Rise of Green Growth. </w:t>
      </w:r>
      <w:r w:rsidR="006208B4" w:rsidRPr="006208B4">
        <w:rPr>
          <w:rFonts w:ascii="Aptos" w:hAnsi="Aptos" w:cs="Times New Roman"/>
          <w:i/>
          <w:iCs/>
          <w:noProof/>
          <w:kern w:val="0"/>
        </w:rPr>
        <w:t>Perspectives on Politics</w:t>
      </w:r>
      <w:r w:rsidR="006208B4" w:rsidRPr="006208B4">
        <w:rPr>
          <w:rFonts w:ascii="Aptos" w:hAnsi="Aptos" w:cs="Times New Roman"/>
          <w:noProof/>
          <w:kern w:val="0"/>
        </w:rPr>
        <w:t xml:space="preserve">, </w:t>
      </w:r>
      <w:r w:rsidR="006208B4" w:rsidRPr="006208B4">
        <w:rPr>
          <w:rFonts w:ascii="Aptos" w:hAnsi="Aptos" w:cs="Times New Roman"/>
          <w:i/>
          <w:iCs/>
          <w:noProof/>
          <w:kern w:val="0"/>
        </w:rPr>
        <w:t>21</w:t>
      </w:r>
      <w:r w:rsidR="006208B4" w:rsidRPr="006208B4">
        <w:rPr>
          <w:rFonts w:ascii="Aptos" w:hAnsi="Aptos" w:cs="Times New Roman"/>
          <w:noProof/>
          <w:kern w:val="0"/>
        </w:rPr>
        <w:t>(2), 443–461. https://doi.org/10.7910/DVN/AE0MKQ</w:t>
      </w:r>
    </w:p>
    <w:p w14:paraId="5C45CD6A"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Aronoff, K., Battistoni, A., Cohen, D. A., &amp; Riofrancos, T. (2019). </w:t>
      </w:r>
      <w:r w:rsidRPr="006208B4">
        <w:rPr>
          <w:rFonts w:ascii="Aptos" w:hAnsi="Aptos" w:cs="Times New Roman"/>
          <w:i/>
          <w:iCs/>
          <w:noProof/>
          <w:kern w:val="0"/>
        </w:rPr>
        <w:t>A Planet to Win: Why We Need a Green New Deal</w:t>
      </w:r>
      <w:r w:rsidRPr="006208B4">
        <w:rPr>
          <w:rFonts w:ascii="Aptos" w:hAnsi="Aptos" w:cs="Times New Roman"/>
          <w:noProof/>
          <w:kern w:val="0"/>
        </w:rPr>
        <w:t>. Verso.</w:t>
      </w:r>
    </w:p>
    <w:p w14:paraId="7CE65111"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Barbier, E. B. (2010). </w:t>
      </w:r>
      <w:r w:rsidRPr="006208B4">
        <w:rPr>
          <w:rFonts w:ascii="Aptos" w:hAnsi="Aptos" w:cs="Times New Roman"/>
          <w:i/>
          <w:iCs/>
          <w:noProof/>
          <w:kern w:val="0"/>
        </w:rPr>
        <w:t>A Global Green New Deal: Rethinking the Economic Recovery</w:t>
      </w:r>
      <w:r w:rsidRPr="006208B4">
        <w:rPr>
          <w:rFonts w:ascii="Aptos" w:hAnsi="Aptos" w:cs="Times New Roman"/>
          <w:noProof/>
          <w:kern w:val="0"/>
        </w:rPr>
        <w:t>. Cambridge University Press.</w:t>
      </w:r>
    </w:p>
    <w:p w14:paraId="2AC0F928"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Blyth, M. (2002). </w:t>
      </w:r>
      <w:r w:rsidRPr="006208B4">
        <w:rPr>
          <w:rFonts w:ascii="Aptos" w:hAnsi="Aptos" w:cs="Times New Roman"/>
          <w:i/>
          <w:iCs/>
          <w:noProof/>
          <w:kern w:val="0"/>
        </w:rPr>
        <w:t>Great Transformations: Economic Ideas and Institutional Change in the 20th Century</w:t>
      </w:r>
      <w:r w:rsidRPr="006208B4">
        <w:rPr>
          <w:rFonts w:ascii="Aptos" w:hAnsi="Aptos" w:cs="Times New Roman"/>
          <w:noProof/>
          <w:kern w:val="0"/>
        </w:rPr>
        <w:t>. Cambridge University Press.</w:t>
      </w:r>
    </w:p>
    <w:p w14:paraId="4823304C"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lastRenderedPageBreak/>
        <w:t xml:space="preserve">Buch-Hansen, H., &amp; Carstensen, M. B. (2021). Paradigms and the political economy of ecopolitical projects: Green growth and degrowth compared. </w:t>
      </w:r>
      <w:r w:rsidRPr="006208B4">
        <w:rPr>
          <w:rFonts w:ascii="Aptos" w:hAnsi="Aptos" w:cs="Times New Roman"/>
          <w:i/>
          <w:iCs/>
          <w:noProof/>
          <w:kern w:val="0"/>
        </w:rPr>
        <w:t>Competition and Change</w:t>
      </w:r>
      <w:r w:rsidRPr="006208B4">
        <w:rPr>
          <w:rFonts w:ascii="Aptos" w:hAnsi="Aptos" w:cs="Times New Roman"/>
          <w:noProof/>
          <w:kern w:val="0"/>
        </w:rPr>
        <w:t xml:space="preserve">, </w:t>
      </w:r>
      <w:r w:rsidRPr="006208B4">
        <w:rPr>
          <w:rFonts w:ascii="Aptos" w:hAnsi="Aptos" w:cs="Times New Roman"/>
          <w:i/>
          <w:iCs/>
          <w:noProof/>
          <w:kern w:val="0"/>
        </w:rPr>
        <w:t>25</w:t>
      </w:r>
      <w:r w:rsidRPr="006208B4">
        <w:rPr>
          <w:rFonts w:ascii="Aptos" w:hAnsi="Aptos" w:cs="Times New Roman"/>
          <w:noProof/>
          <w:kern w:val="0"/>
        </w:rPr>
        <w:t>(3–4), 308–327. https://doi.org/10.1177/1024529420987528</w:t>
      </w:r>
    </w:p>
    <w:p w14:paraId="0900B95E"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Clift, B. (2024). Global economic governance and environmental crisis: the widening repertoire of IMF economic ideas and limits of its climate policy advocacy. </w:t>
      </w:r>
      <w:r w:rsidRPr="006208B4">
        <w:rPr>
          <w:rFonts w:ascii="Aptos" w:hAnsi="Aptos" w:cs="Times New Roman"/>
          <w:i/>
          <w:iCs/>
          <w:noProof/>
          <w:kern w:val="0"/>
        </w:rPr>
        <w:t>Climate Policy</w:t>
      </w:r>
      <w:r w:rsidRPr="006208B4">
        <w:rPr>
          <w:rFonts w:ascii="Aptos" w:hAnsi="Aptos" w:cs="Times New Roman"/>
          <w:noProof/>
          <w:kern w:val="0"/>
        </w:rPr>
        <w:t>. https://doi.org/10.1080/14693062.2024.2441226</w:t>
      </w:r>
    </w:p>
    <w:p w14:paraId="7BD3F1E2"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Daly, H. (1977). </w:t>
      </w:r>
      <w:r w:rsidRPr="006208B4">
        <w:rPr>
          <w:rFonts w:ascii="Aptos" w:hAnsi="Aptos" w:cs="Times New Roman"/>
          <w:i/>
          <w:iCs/>
          <w:noProof/>
          <w:kern w:val="0"/>
        </w:rPr>
        <w:t>Steady-state economics. The Economics of Biophysical Equilibrium And Moral Growth</w:t>
      </w:r>
      <w:r w:rsidRPr="006208B4">
        <w:rPr>
          <w:rFonts w:ascii="Aptos" w:hAnsi="Aptos" w:cs="Times New Roman"/>
          <w:noProof/>
          <w:kern w:val="0"/>
        </w:rPr>
        <w:t>. W. H. Freeman.</w:t>
      </w:r>
    </w:p>
    <w:p w14:paraId="0CF367C9"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Ekins, P., McDowall, W., &amp; Zenghelis, D. (2014). </w:t>
      </w:r>
      <w:r w:rsidRPr="006208B4">
        <w:rPr>
          <w:rFonts w:ascii="Aptos" w:hAnsi="Aptos" w:cs="Times New Roman"/>
          <w:i/>
          <w:iCs/>
          <w:noProof/>
          <w:kern w:val="0"/>
        </w:rPr>
        <w:t>Greening the Recovery: The Report of the UCL Green Economy Policy Commission</w:t>
      </w:r>
      <w:r w:rsidRPr="006208B4">
        <w:rPr>
          <w:rFonts w:ascii="Aptos" w:hAnsi="Aptos" w:cs="Times New Roman"/>
          <w:noProof/>
          <w:kern w:val="0"/>
        </w:rPr>
        <w:t>.</w:t>
      </w:r>
    </w:p>
    <w:p w14:paraId="70E14715"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Gough, I. (2017). </w:t>
      </w:r>
      <w:r w:rsidRPr="006208B4">
        <w:rPr>
          <w:rFonts w:ascii="Aptos" w:hAnsi="Aptos" w:cs="Times New Roman"/>
          <w:i/>
          <w:iCs/>
          <w:noProof/>
          <w:kern w:val="0"/>
        </w:rPr>
        <w:t>Heat, Greed and Human Need: Climate Change, Capitalism and Sustainable Wellbeing</w:t>
      </w:r>
      <w:r w:rsidRPr="006208B4">
        <w:rPr>
          <w:rFonts w:ascii="Aptos" w:hAnsi="Aptos" w:cs="Times New Roman"/>
          <w:noProof/>
          <w:kern w:val="0"/>
        </w:rPr>
        <w:t>. Edward Elgar.</w:t>
      </w:r>
    </w:p>
    <w:p w14:paraId="0D70F242"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Green, F. (2017). The normative foundations of climate legislation. In A. Averchenkova, S. Fankhauser, &amp; M. Nachmany (Eds.), </w:t>
      </w:r>
      <w:r w:rsidRPr="006208B4">
        <w:rPr>
          <w:rFonts w:ascii="Aptos" w:hAnsi="Aptos" w:cs="Times New Roman"/>
          <w:i/>
          <w:iCs/>
          <w:noProof/>
          <w:kern w:val="0"/>
        </w:rPr>
        <w:t>Trends in Climate Change Legislation</w:t>
      </w:r>
      <w:r w:rsidRPr="006208B4">
        <w:rPr>
          <w:rFonts w:ascii="Aptos" w:hAnsi="Aptos" w:cs="Times New Roman"/>
          <w:noProof/>
          <w:kern w:val="0"/>
        </w:rPr>
        <w:t xml:space="preserve"> (pp. 85–107). Edward Elgar.</w:t>
      </w:r>
    </w:p>
    <w:p w14:paraId="410A8ABE"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Green, F., &amp; Healy, N. (2022). How Inequality Fuels Climate Change: The Climate Case for a Green New Deal. </w:t>
      </w:r>
      <w:r w:rsidRPr="006208B4">
        <w:rPr>
          <w:rFonts w:ascii="Aptos" w:hAnsi="Aptos" w:cs="Times New Roman"/>
          <w:i/>
          <w:iCs/>
          <w:noProof/>
          <w:kern w:val="0"/>
        </w:rPr>
        <w:t>One Earth</w:t>
      </w:r>
      <w:r w:rsidRPr="006208B4">
        <w:rPr>
          <w:rFonts w:ascii="Aptos" w:hAnsi="Aptos" w:cs="Times New Roman"/>
          <w:noProof/>
          <w:kern w:val="0"/>
        </w:rPr>
        <w:t xml:space="preserve">, </w:t>
      </w:r>
      <w:r w:rsidRPr="006208B4">
        <w:rPr>
          <w:rFonts w:ascii="Aptos" w:hAnsi="Aptos" w:cs="Times New Roman"/>
          <w:i/>
          <w:iCs/>
          <w:noProof/>
          <w:kern w:val="0"/>
        </w:rPr>
        <w:t>5</w:t>
      </w:r>
      <w:r w:rsidRPr="006208B4">
        <w:rPr>
          <w:rFonts w:ascii="Aptos" w:hAnsi="Aptos" w:cs="Times New Roman"/>
          <w:noProof/>
          <w:kern w:val="0"/>
        </w:rPr>
        <w:t>(6), 635–649.</w:t>
      </w:r>
    </w:p>
    <w:p w14:paraId="4C7980C7"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Hajer, M. A. (1995). </w:t>
      </w:r>
      <w:r w:rsidRPr="006208B4">
        <w:rPr>
          <w:rFonts w:ascii="Aptos" w:hAnsi="Aptos" w:cs="Times New Roman"/>
          <w:i/>
          <w:iCs/>
          <w:noProof/>
          <w:kern w:val="0"/>
        </w:rPr>
        <w:t>The politics of environmental discourse: Ecological modernization and the policy process</w:t>
      </w:r>
      <w:r w:rsidRPr="006208B4">
        <w:rPr>
          <w:rFonts w:ascii="Aptos" w:hAnsi="Aptos" w:cs="Times New Roman"/>
          <w:noProof/>
          <w:kern w:val="0"/>
        </w:rPr>
        <w:t>. Oxford University Press.</w:t>
      </w:r>
    </w:p>
    <w:p w14:paraId="6C4E1F64"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Hall, P. A. (1993). Policy Paradigms, Social Learning, and the State: The Case of Economic Policymaking in Britain. </w:t>
      </w:r>
      <w:r w:rsidRPr="006208B4">
        <w:rPr>
          <w:rFonts w:ascii="Aptos" w:hAnsi="Aptos" w:cs="Times New Roman"/>
          <w:i/>
          <w:iCs/>
          <w:noProof/>
          <w:kern w:val="0"/>
        </w:rPr>
        <w:t>Comparative Politics</w:t>
      </w:r>
      <w:r w:rsidRPr="006208B4">
        <w:rPr>
          <w:rFonts w:ascii="Aptos" w:hAnsi="Aptos" w:cs="Times New Roman"/>
          <w:noProof/>
          <w:kern w:val="0"/>
        </w:rPr>
        <w:t xml:space="preserve">, </w:t>
      </w:r>
      <w:r w:rsidRPr="006208B4">
        <w:rPr>
          <w:rFonts w:ascii="Aptos" w:hAnsi="Aptos" w:cs="Times New Roman"/>
          <w:i/>
          <w:iCs/>
          <w:noProof/>
          <w:kern w:val="0"/>
        </w:rPr>
        <w:t>25</w:t>
      </w:r>
      <w:r w:rsidRPr="006208B4">
        <w:rPr>
          <w:rFonts w:ascii="Aptos" w:hAnsi="Aptos" w:cs="Times New Roman"/>
          <w:noProof/>
          <w:kern w:val="0"/>
        </w:rPr>
        <w:t>(3), 275–296.</w:t>
      </w:r>
    </w:p>
    <w:p w14:paraId="0C173C03"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Hartwick, J. M. (1977). Intergenerational Equity and the Investing of Rents from Exhaustible Resources. </w:t>
      </w:r>
      <w:r w:rsidRPr="006208B4">
        <w:rPr>
          <w:rFonts w:ascii="Aptos" w:hAnsi="Aptos" w:cs="Times New Roman"/>
          <w:i/>
          <w:iCs/>
          <w:noProof/>
          <w:kern w:val="0"/>
        </w:rPr>
        <w:t>The American Economic Review</w:t>
      </w:r>
      <w:r w:rsidRPr="006208B4">
        <w:rPr>
          <w:rFonts w:ascii="Aptos" w:hAnsi="Aptos" w:cs="Times New Roman"/>
          <w:noProof/>
          <w:kern w:val="0"/>
        </w:rPr>
        <w:t xml:space="preserve">, </w:t>
      </w:r>
      <w:r w:rsidRPr="006208B4">
        <w:rPr>
          <w:rFonts w:ascii="Aptos" w:hAnsi="Aptos" w:cs="Times New Roman"/>
          <w:i/>
          <w:iCs/>
          <w:noProof/>
          <w:kern w:val="0"/>
        </w:rPr>
        <w:t>67</w:t>
      </w:r>
      <w:r w:rsidRPr="006208B4">
        <w:rPr>
          <w:rFonts w:ascii="Aptos" w:hAnsi="Aptos" w:cs="Times New Roman"/>
          <w:noProof/>
          <w:kern w:val="0"/>
        </w:rPr>
        <w:t>(5), 972–974.</w:t>
      </w:r>
    </w:p>
    <w:p w14:paraId="7265FC27"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Hausman, D. M., McPherson, M. S., &amp; Satz, D. (2016). </w:t>
      </w:r>
      <w:r w:rsidRPr="006208B4">
        <w:rPr>
          <w:rFonts w:ascii="Aptos" w:hAnsi="Aptos" w:cs="Times New Roman"/>
          <w:i/>
          <w:iCs/>
          <w:noProof/>
          <w:kern w:val="0"/>
        </w:rPr>
        <w:t>Economic Analysis, Moral Philosophy and Public Policy</w:t>
      </w:r>
      <w:r w:rsidRPr="006208B4">
        <w:rPr>
          <w:rFonts w:ascii="Aptos" w:hAnsi="Aptos" w:cs="Times New Roman"/>
          <w:noProof/>
          <w:kern w:val="0"/>
        </w:rPr>
        <w:t xml:space="preserve"> (3rd ed.). Cambridge University Press.</w:t>
      </w:r>
    </w:p>
    <w:p w14:paraId="4D8765CB"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Hepburn, C., O’Callaghan, B., Stern, N., Stiglitz, J., &amp; Zenghelis, D. (2020). Will COVID-19 fiscal recovery packages accelerate or retard progress on climate change? </w:t>
      </w:r>
      <w:r w:rsidRPr="006208B4">
        <w:rPr>
          <w:rFonts w:ascii="Aptos" w:hAnsi="Aptos" w:cs="Times New Roman"/>
          <w:i/>
          <w:iCs/>
          <w:noProof/>
          <w:kern w:val="0"/>
        </w:rPr>
        <w:t>Oxford Review of Economic Policy</w:t>
      </w:r>
      <w:r w:rsidRPr="006208B4">
        <w:rPr>
          <w:rFonts w:ascii="Aptos" w:hAnsi="Aptos" w:cs="Times New Roman"/>
          <w:noProof/>
          <w:kern w:val="0"/>
        </w:rPr>
        <w:t xml:space="preserve">, </w:t>
      </w:r>
      <w:r w:rsidRPr="006208B4">
        <w:rPr>
          <w:rFonts w:ascii="Aptos" w:hAnsi="Aptos" w:cs="Times New Roman"/>
          <w:i/>
          <w:iCs/>
          <w:noProof/>
          <w:kern w:val="0"/>
        </w:rPr>
        <w:t>36</w:t>
      </w:r>
      <w:r w:rsidRPr="006208B4">
        <w:rPr>
          <w:rFonts w:ascii="Aptos" w:hAnsi="Aptos" w:cs="Times New Roman"/>
          <w:noProof/>
          <w:kern w:val="0"/>
        </w:rPr>
        <w:t>(S1), S359–S381.</w:t>
      </w:r>
    </w:p>
    <w:p w14:paraId="5E58FFE0"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Kallis, G., Kostakis, V., Lange, S., Muraca, B., Paulson, S., &amp; Schmelzer, M. (2018). Research on Degrowth. </w:t>
      </w:r>
      <w:r w:rsidRPr="006208B4">
        <w:rPr>
          <w:rFonts w:ascii="Aptos" w:hAnsi="Aptos" w:cs="Times New Roman"/>
          <w:i/>
          <w:iCs/>
          <w:noProof/>
          <w:kern w:val="0"/>
        </w:rPr>
        <w:t>Annual Review of Environment and Resources</w:t>
      </w:r>
      <w:r w:rsidRPr="006208B4">
        <w:rPr>
          <w:rFonts w:ascii="Aptos" w:hAnsi="Aptos" w:cs="Times New Roman"/>
          <w:noProof/>
          <w:kern w:val="0"/>
        </w:rPr>
        <w:t xml:space="preserve">, </w:t>
      </w:r>
      <w:r w:rsidRPr="006208B4">
        <w:rPr>
          <w:rFonts w:ascii="Aptos" w:hAnsi="Aptos" w:cs="Times New Roman"/>
          <w:i/>
          <w:iCs/>
          <w:noProof/>
          <w:kern w:val="0"/>
        </w:rPr>
        <w:t>43</w:t>
      </w:r>
      <w:r w:rsidRPr="006208B4">
        <w:rPr>
          <w:rFonts w:ascii="Aptos" w:hAnsi="Aptos" w:cs="Times New Roman"/>
          <w:noProof/>
          <w:kern w:val="0"/>
        </w:rPr>
        <w:t>, 291–316. https://doi.org/10.1146/annurev-environ-102017-025941</w:t>
      </w:r>
    </w:p>
    <w:p w14:paraId="175D1A21"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Kedward, K., &amp; Ryan-Collins, J. (2022). A Green New Deal: Opportunities and Constraints. In P. Arestis &amp; M. Sawyer (Eds.), </w:t>
      </w:r>
      <w:r w:rsidRPr="006208B4">
        <w:rPr>
          <w:rFonts w:ascii="Aptos" w:hAnsi="Aptos" w:cs="Times New Roman"/>
          <w:i/>
          <w:iCs/>
          <w:noProof/>
          <w:kern w:val="0"/>
        </w:rPr>
        <w:t>Economic Policies for Sustainability and Resilience</w:t>
      </w:r>
      <w:r w:rsidRPr="006208B4">
        <w:rPr>
          <w:rFonts w:ascii="Aptos" w:hAnsi="Aptos" w:cs="Times New Roman"/>
          <w:noProof/>
          <w:kern w:val="0"/>
        </w:rPr>
        <w:t xml:space="preserve"> (pp. 269–317). Palgrave Macmillan. https://doi.org/10.1007/978-3-030-84288-8_7</w:t>
      </w:r>
    </w:p>
    <w:p w14:paraId="69C03116"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Kikstra, J. S., Mastrucci, A., Min, J., Riahi, K., &amp; Rao, N. D. (2021). Decent living gaps and energy needs around the world. </w:t>
      </w:r>
      <w:r w:rsidRPr="006208B4">
        <w:rPr>
          <w:rFonts w:ascii="Aptos" w:hAnsi="Aptos" w:cs="Times New Roman"/>
          <w:i/>
          <w:iCs/>
          <w:noProof/>
          <w:kern w:val="0"/>
        </w:rPr>
        <w:t>Environmental Research Letters</w:t>
      </w:r>
      <w:r w:rsidRPr="006208B4">
        <w:rPr>
          <w:rFonts w:ascii="Aptos" w:hAnsi="Aptos" w:cs="Times New Roman"/>
          <w:noProof/>
          <w:kern w:val="0"/>
        </w:rPr>
        <w:t xml:space="preserve">, </w:t>
      </w:r>
      <w:r w:rsidRPr="006208B4">
        <w:rPr>
          <w:rFonts w:ascii="Aptos" w:hAnsi="Aptos" w:cs="Times New Roman"/>
          <w:i/>
          <w:iCs/>
          <w:noProof/>
          <w:kern w:val="0"/>
        </w:rPr>
        <w:t>16</w:t>
      </w:r>
      <w:r w:rsidRPr="006208B4">
        <w:rPr>
          <w:rFonts w:ascii="Aptos" w:hAnsi="Aptos" w:cs="Times New Roman"/>
          <w:noProof/>
          <w:kern w:val="0"/>
        </w:rPr>
        <w:t>, n.095006.</w:t>
      </w:r>
    </w:p>
    <w:p w14:paraId="0D2815AD"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Kuzemko, C., &amp; Mitchell, C. (2014). Measuring and explaining policy paradigm change: the case of UK energy policy. </w:t>
      </w:r>
      <w:r w:rsidRPr="006208B4">
        <w:rPr>
          <w:rFonts w:ascii="Aptos" w:hAnsi="Aptos" w:cs="Times New Roman"/>
          <w:i/>
          <w:iCs/>
          <w:noProof/>
          <w:kern w:val="0"/>
        </w:rPr>
        <w:t>Policy &amp; Politics</w:t>
      </w:r>
      <w:r w:rsidRPr="006208B4">
        <w:rPr>
          <w:rFonts w:ascii="Aptos" w:hAnsi="Aptos" w:cs="Times New Roman"/>
          <w:noProof/>
          <w:kern w:val="0"/>
        </w:rPr>
        <w:t xml:space="preserve">, </w:t>
      </w:r>
      <w:r w:rsidRPr="006208B4">
        <w:rPr>
          <w:rFonts w:ascii="Aptos" w:hAnsi="Aptos" w:cs="Times New Roman"/>
          <w:i/>
          <w:iCs/>
          <w:noProof/>
          <w:kern w:val="0"/>
        </w:rPr>
        <w:t>42</w:t>
      </w:r>
      <w:r w:rsidRPr="006208B4">
        <w:rPr>
          <w:rFonts w:ascii="Aptos" w:hAnsi="Aptos" w:cs="Times New Roman"/>
          <w:noProof/>
          <w:kern w:val="0"/>
        </w:rPr>
        <w:t>(4), 513–531.</w:t>
      </w:r>
    </w:p>
    <w:p w14:paraId="55D44AEA"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lastRenderedPageBreak/>
        <w:t xml:space="preserve">Mastini, R., Kallis, G., &amp; Hickel, J. (2021). A Green New Deal without growth? </w:t>
      </w:r>
      <w:r w:rsidRPr="006208B4">
        <w:rPr>
          <w:rFonts w:ascii="Aptos" w:hAnsi="Aptos" w:cs="Times New Roman"/>
          <w:i/>
          <w:iCs/>
          <w:noProof/>
          <w:kern w:val="0"/>
        </w:rPr>
        <w:t>Ecological Economics</w:t>
      </w:r>
      <w:r w:rsidRPr="006208B4">
        <w:rPr>
          <w:rFonts w:ascii="Aptos" w:hAnsi="Aptos" w:cs="Times New Roman"/>
          <w:noProof/>
          <w:kern w:val="0"/>
        </w:rPr>
        <w:t xml:space="preserve">, </w:t>
      </w:r>
      <w:r w:rsidRPr="006208B4">
        <w:rPr>
          <w:rFonts w:ascii="Aptos" w:hAnsi="Aptos" w:cs="Times New Roman"/>
          <w:i/>
          <w:iCs/>
          <w:noProof/>
          <w:kern w:val="0"/>
        </w:rPr>
        <w:t>179</w:t>
      </w:r>
      <w:r w:rsidRPr="006208B4">
        <w:rPr>
          <w:rFonts w:ascii="Aptos" w:hAnsi="Aptos" w:cs="Times New Roman"/>
          <w:noProof/>
          <w:kern w:val="0"/>
        </w:rPr>
        <w:t>(n.106832). https://doi.org/10.1016/j.ecolecon.2020.106832</w:t>
      </w:r>
    </w:p>
    <w:p w14:paraId="4C4ACE45"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Mazzucato, M. (2013). </w:t>
      </w:r>
      <w:r w:rsidRPr="006208B4">
        <w:rPr>
          <w:rFonts w:ascii="Aptos" w:hAnsi="Aptos" w:cs="Times New Roman"/>
          <w:i/>
          <w:iCs/>
          <w:noProof/>
          <w:kern w:val="0"/>
        </w:rPr>
        <w:t>The Entrepreneurial State: Debunking Private vs Public Sector Myths</w:t>
      </w:r>
      <w:r w:rsidRPr="006208B4">
        <w:rPr>
          <w:rFonts w:ascii="Aptos" w:hAnsi="Aptos" w:cs="Times New Roman"/>
          <w:noProof/>
          <w:kern w:val="0"/>
        </w:rPr>
        <w:t>. Anthem.</w:t>
      </w:r>
    </w:p>
    <w:p w14:paraId="6CD8100B"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Mazzucato, M. (2015). The Green Entrepreneurial State. In I. Scoones, M. Leach, &amp; P. Newell (Eds.), </w:t>
      </w:r>
      <w:r w:rsidRPr="006208B4">
        <w:rPr>
          <w:rFonts w:ascii="Aptos" w:hAnsi="Aptos" w:cs="Times New Roman"/>
          <w:i/>
          <w:iCs/>
          <w:noProof/>
          <w:kern w:val="0"/>
        </w:rPr>
        <w:t>The politics of green transformations</w:t>
      </w:r>
      <w:r w:rsidRPr="006208B4">
        <w:rPr>
          <w:rFonts w:ascii="Aptos" w:hAnsi="Aptos" w:cs="Times New Roman"/>
          <w:noProof/>
          <w:kern w:val="0"/>
        </w:rPr>
        <w:t xml:space="preserve"> (pp. 134–152). Routledge.</w:t>
      </w:r>
    </w:p>
    <w:p w14:paraId="37EC742D"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Mazzucato, M. (2021). </w:t>
      </w:r>
      <w:r w:rsidRPr="006208B4">
        <w:rPr>
          <w:rFonts w:ascii="Aptos" w:hAnsi="Aptos" w:cs="Times New Roman"/>
          <w:i/>
          <w:iCs/>
          <w:noProof/>
          <w:kern w:val="0"/>
        </w:rPr>
        <w:t>Mission Economy: A Moonshot Guide to Changing Capitalism</w:t>
      </w:r>
      <w:r w:rsidRPr="006208B4">
        <w:rPr>
          <w:rFonts w:ascii="Aptos" w:hAnsi="Aptos" w:cs="Times New Roman"/>
          <w:noProof/>
          <w:kern w:val="0"/>
        </w:rPr>
        <w:t>. Allen Lane.</w:t>
      </w:r>
    </w:p>
    <w:p w14:paraId="0531B7B2"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Mazzucato, M., &amp; Ryan-Collins, J. (2022). Putting value creation back into “public value”: from market-fixing to market-shaping. </w:t>
      </w:r>
      <w:r w:rsidRPr="006208B4">
        <w:rPr>
          <w:rFonts w:ascii="Aptos" w:hAnsi="Aptos" w:cs="Times New Roman"/>
          <w:i/>
          <w:iCs/>
          <w:noProof/>
          <w:kern w:val="0"/>
        </w:rPr>
        <w:t>Journal of Economic Policy Reform</w:t>
      </w:r>
      <w:r w:rsidRPr="006208B4">
        <w:rPr>
          <w:rFonts w:ascii="Aptos" w:hAnsi="Aptos" w:cs="Times New Roman"/>
          <w:noProof/>
          <w:kern w:val="0"/>
        </w:rPr>
        <w:t xml:space="preserve">, </w:t>
      </w:r>
      <w:r w:rsidRPr="006208B4">
        <w:rPr>
          <w:rFonts w:ascii="Aptos" w:hAnsi="Aptos" w:cs="Times New Roman"/>
          <w:i/>
          <w:iCs/>
          <w:noProof/>
          <w:kern w:val="0"/>
        </w:rPr>
        <w:t>00</w:t>
      </w:r>
      <w:r w:rsidRPr="006208B4">
        <w:rPr>
          <w:rFonts w:ascii="Aptos" w:hAnsi="Aptos" w:cs="Times New Roman"/>
          <w:noProof/>
          <w:kern w:val="0"/>
        </w:rPr>
        <w:t>(00), 1–16. https://doi.org/10.1080/17487870.2022.2053537</w:t>
      </w:r>
    </w:p>
    <w:p w14:paraId="5F60D6DE"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Meadows, D., Meadows, D., Randers, J., &amp; Beerens III, W. (1974). </w:t>
      </w:r>
      <w:r w:rsidRPr="006208B4">
        <w:rPr>
          <w:rFonts w:ascii="Aptos" w:hAnsi="Aptos" w:cs="Times New Roman"/>
          <w:i/>
          <w:iCs/>
          <w:noProof/>
          <w:kern w:val="0"/>
        </w:rPr>
        <w:t>The Limits to Growth</w:t>
      </w:r>
      <w:r w:rsidRPr="006208B4">
        <w:rPr>
          <w:rFonts w:ascii="Aptos" w:hAnsi="Aptos" w:cs="Times New Roman"/>
          <w:noProof/>
          <w:kern w:val="0"/>
        </w:rPr>
        <w:t>. Pan.</w:t>
      </w:r>
    </w:p>
    <w:p w14:paraId="211FED20"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Meckling, J., &amp; Allan, B. B. (2020). The evolution of ideas in global climate policy. </w:t>
      </w:r>
      <w:r w:rsidRPr="006208B4">
        <w:rPr>
          <w:rFonts w:ascii="Aptos" w:hAnsi="Aptos" w:cs="Times New Roman"/>
          <w:i/>
          <w:iCs/>
          <w:noProof/>
          <w:kern w:val="0"/>
        </w:rPr>
        <w:t>Nature Climate Change</w:t>
      </w:r>
      <w:r w:rsidRPr="006208B4">
        <w:rPr>
          <w:rFonts w:ascii="Aptos" w:hAnsi="Aptos" w:cs="Times New Roman"/>
          <w:noProof/>
          <w:kern w:val="0"/>
        </w:rPr>
        <w:t xml:space="preserve">, </w:t>
      </w:r>
      <w:r w:rsidRPr="006208B4">
        <w:rPr>
          <w:rFonts w:ascii="Aptos" w:hAnsi="Aptos" w:cs="Times New Roman"/>
          <w:i/>
          <w:iCs/>
          <w:noProof/>
          <w:kern w:val="0"/>
        </w:rPr>
        <w:t>10</w:t>
      </w:r>
      <w:r w:rsidRPr="006208B4">
        <w:rPr>
          <w:rFonts w:ascii="Aptos" w:hAnsi="Aptos" w:cs="Times New Roman"/>
          <w:noProof/>
          <w:kern w:val="0"/>
        </w:rPr>
        <w:t>(5), 434–438. https://doi.org/10.1038/s41558-020-0739-7</w:t>
      </w:r>
    </w:p>
    <w:p w14:paraId="60D89C5F"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Murphy, J., &amp; Gouldson, A. (2000). Integrating environment and economy through ecological modernisation? An assessment of the impact of environmental policy on industrial innovation. </w:t>
      </w:r>
      <w:r w:rsidRPr="006208B4">
        <w:rPr>
          <w:rFonts w:ascii="Aptos" w:hAnsi="Aptos" w:cs="Times New Roman"/>
          <w:i/>
          <w:iCs/>
          <w:noProof/>
          <w:kern w:val="0"/>
        </w:rPr>
        <w:t>Geoforum</w:t>
      </w:r>
      <w:r w:rsidRPr="006208B4">
        <w:rPr>
          <w:rFonts w:ascii="Aptos" w:hAnsi="Aptos" w:cs="Times New Roman"/>
          <w:noProof/>
          <w:kern w:val="0"/>
        </w:rPr>
        <w:t xml:space="preserve">, </w:t>
      </w:r>
      <w:r w:rsidRPr="006208B4">
        <w:rPr>
          <w:rFonts w:ascii="Aptos" w:hAnsi="Aptos" w:cs="Times New Roman"/>
          <w:i/>
          <w:iCs/>
          <w:noProof/>
          <w:kern w:val="0"/>
        </w:rPr>
        <w:t>31</w:t>
      </w:r>
      <w:r w:rsidRPr="006208B4">
        <w:rPr>
          <w:rFonts w:ascii="Aptos" w:hAnsi="Aptos" w:cs="Times New Roman"/>
          <w:noProof/>
          <w:kern w:val="0"/>
        </w:rPr>
        <w:t>(1), 33–44.</w:t>
      </w:r>
    </w:p>
    <w:p w14:paraId="70F3C7BE"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Myles, G. D. (1995). </w:t>
      </w:r>
      <w:r w:rsidRPr="006208B4">
        <w:rPr>
          <w:rFonts w:ascii="Aptos" w:hAnsi="Aptos" w:cs="Times New Roman"/>
          <w:i/>
          <w:iCs/>
          <w:noProof/>
          <w:kern w:val="0"/>
        </w:rPr>
        <w:t>Public Economics</w:t>
      </w:r>
      <w:r w:rsidRPr="006208B4">
        <w:rPr>
          <w:rFonts w:ascii="Aptos" w:hAnsi="Aptos" w:cs="Times New Roman"/>
          <w:noProof/>
          <w:kern w:val="0"/>
        </w:rPr>
        <w:t>. Cambridge University Press.</w:t>
      </w:r>
    </w:p>
    <w:p w14:paraId="5342BF0E"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Nordhaus, W. D. (1974). Resources as a Constraint on Growth. </w:t>
      </w:r>
      <w:r w:rsidRPr="006208B4">
        <w:rPr>
          <w:rFonts w:ascii="Aptos" w:hAnsi="Aptos" w:cs="Times New Roman"/>
          <w:i/>
          <w:iCs/>
          <w:noProof/>
          <w:kern w:val="0"/>
        </w:rPr>
        <w:t>The American Economic Review</w:t>
      </w:r>
      <w:r w:rsidRPr="006208B4">
        <w:rPr>
          <w:rFonts w:ascii="Aptos" w:hAnsi="Aptos" w:cs="Times New Roman"/>
          <w:noProof/>
          <w:kern w:val="0"/>
        </w:rPr>
        <w:t xml:space="preserve">, </w:t>
      </w:r>
      <w:r w:rsidRPr="006208B4">
        <w:rPr>
          <w:rFonts w:ascii="Aptos" w:hAnsi="Aptos" w:cs="Times New Roman"/>
          <w:i/>
          <w:iCs/>
          <w:noProof/>
          <w:kern w:val="0"/>
        </w:rPr>
        <w:t>64</w:t>
      </w:r>
      <w:r w:rsidRPr="006208B4">
        <w:rPr>
          <w:rFonts w:ascii="Aptos" w:hAnsi="Aptos" w:cs="Times New Roman"/>
          <w:noProof/>
          <w:kern w:val="0"/>
        </w:rPr>
        <w:t>(2), 22–26.</w:t>
      </w:r>
    </w:p>
    <w:p w14:paraId="42A85FD1"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O’Neill, D. W., Fanning, A. L., Lamb, W. F., &amp; Steinberger, J. K. (2018). A good life for all within planetary boundaries. </w:t>
      </w:r>
      <w:r w:rsidRPr="006208B4">
        <w:rPr>
          <w:rFonts w:ascii="Aptos" w:hAnsi="Aptos" w:cs="Times New Roman"/>
          <w:i/>
          <w:iCs/>
          <w:noProof/>
          <w:kern w:val="0"/>
        </w:rPr>
        <w:t>Nature Sustainability</w:t>
      </w:r>
      <w:r w:rsidRPr="006208B4">
        <w:rPr>
          <w:rFonts w:ascii="Aptos" w:hAnsi="Aptos" w:cs="Times New Roman"/>
          <w:noProof/>
          <w:kern w:val="0"/>
        </w:rPr>
        <w:t xml:space="preserve">, </w:t>
      </w:r>
      <w:r w:rsidRPr="006208B4">
        <w:rPr>
          <w:rFonts w:ascii="Aptos" w:hAnsi="Aptos" w:cs="Times New Roman"/>
          <w:i/>
          <w:iCs/>
          <w:noProof/>
          <w:kern w:val="0"/>
        </w:rPr>
        <w:t>1</w:t>
      </w:r>
      <w:r w:rsidRPr="006208B4">
        <w:rPr>
          <w:rFonts w:ascii="Aptos" w:hAnsi="Aptos" w:cs="Times New Roman"/>
          <w:noProof/>
          <w:kern w:val="0"/>
        </w:rPr>
        <w:t>(2), 88–95. https://doi.org/10.1038/s41893-018-0021-4</w:t>
      </w:r>
    </w:p>
    <w:p w14:paraId="5070A5B3"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Oswald, Y., Steinberger, J. K., Ivanova, D., &amp; Millward-Hopkins, J. (2021). Global redistribution of income and household energy footprints: a computational thought experiment. </w:t>
      </w:r>
      <w:r w:rsidRPr="006208B4">
        <w:rPr>
          <w:rFonts w:ascii="Aptos" w:hAnsi="Aptos" w:cs="Times New Roman"/>
          <w:i/>
          <w:iCs/>
          <w:noProof/>
          <w:kern w:val="0"/>
        </w:rPr>
        <w:t>Global Sustainability</w:t>
      </w:r>
      <w:r w:rsidRPr="006208B4">
        <w:rPr>
          <w:rFonts w:ascii="Aptos" w:hAnsi="Aptos" w:cs="Times New Roman"/>
          <w:noProof/>
          <w:kern w:val="0"/>
        </w:rPr>
        <w:t xml:space="preserve">, </w:t>
      </w:r>
      <w:r w:rsidRPr="006208B4">
        <w:rPr>
          <w:rFonts w:ascii="Aptos" w:hAnsi="Aptos" w:cs="Times New Roman"/>
          <w:i/>
          <w:iCs/>
          <w:noProof/>
          <w:kern w:val="0"/>
        </w:rPr>
        <w:t>4</w:t>
      </w:r>
      <w:r w:rsidRPr="006208B4">
        <w:rPr>
          <w:rFonts w:ascii="Aptos" w:hAnsi="Aptos" w:cs="Times New Roman"/>
          <w:noProof/>
          <w:kern w:val="0"/>
        </w:rPr>
        <w:t>(2021). https://doi.org/10.1017/sus.2021.1</w:t>
      </w:r>
    </w:p>
    <w:p w14:paraId="0C919687"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Perez, C. (2013). Unleashing a golden age after the financial collapse: Drawing lessons from history. </w:t>
      </w:r>
      <w:r w:rsidRPr="006208B4">
        <w:rPr>
          <w:rFonts w:ascii="Aptos" w:hAnsi="Aptos" w:cs="Times New Roman"/>
          <w:i/>
          <w:iCs/>
          <w:noProof/>
          <w:kern w:val="0"/>
        </w:rPr>
        <w:t>Environmental Innovation and Societal Transitions</w:t>
      </w:r>
      <w:r w:rsidRPr="006208B4">
        <w:rPr>
          <w:rFonts w:ascii="Aptos" w:hAnsi="Aptos" w:cs="Times New Roman"/>
          <w:noProof/>
          <w:kern w:val="0"/>
        </w:rPr>
        <w:t xml:space="preserve">, </w:t>
      </w:r>
      <w:r w:rsidRPr="006208B4">
        <w:rPr>
          <w:rFonts w:ascii="Aptos" w:hAnsi="Aptos" w:cs="Times New Roman"/>
          <w:i/>
          <w:iCs/>
          <w:noProof/>
          <w:kern w:val="0"/>
        </w:rPr>
        <w:t>6</w:t>
      </w:r>
      <w:r w:rsidRPr="006208B4">
        <w:rPr>
          <w:rFonts w:ascii="Aptos" w:hAnsi="Aptos" w:cs="Times New Roman"/>
          <w:noProof/>
          <w:kern w:val="0"/>
        </w:rPr>
        <w:t>, 9–23. https://doi.org/10.1016/j.eist.2012.12.004</w:t>
      </w:r>
    </w:p>
    <w:p w14:paraId="48486BFE"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Rao, N. D., &amp; Min, J. (2018). Less global inequality can improve climate outcomes. </w:t>
      </w:r>
      <w:r w:rsidRPr="006208B4">
        <w:rPr>
          <w:rFonts w:ascii="Aptos" w:hAnsi="Aptos" w:cs="Times New Roman"/>
          <w:i/>
          <w:iCs/>
          <w:noProof/>
          <w:kern w:val="0"/>
        </w:rPr>
        <w:t>WIREs Climate Change</w:t>
      </w:r>
      <w:r w:rsidRPr="006208B4">
        <w:rPr>
          <w:rFonts w:ascii="Aptos" w:hAnsi="Aptos" w:cs="Times New Roman"/>
          <w:noProof/>
          <w:kern w:val="0"/>
        </w:rPr>
        <w:t xml:space="preserve">, </w:t>
      </w:r>
      <w:r w:rsidRPr="006208B4">
        <w:rPr>
          <w:rFonts w:ascii="Aptos" w:hAnsi="Aptos" w:cs="Times New Roman"/>
          <w:i/>
          <w:iCs/>
          <w:noProof/>
          <w:kern w:val="0"/>
        </w:rPr>
        <w:t>9</w:t>
      </w:r>
      <w:r w:rsidRPr="006208B4">
        <w:rPr>
          <w:rFonts w:ascii="Aptos" w:hAnsi="Aptos" w:cs="Times New Roman"/>
          <w:noProof/>
          <w:kern w:val="0"/>
        </w:rPr>
        <w:t>, e513. https://doi.org/10.1002/wcc.513</w:t>
      </w:r>
    </w:p>
    <w:p w14:paraId="1D63DCE5"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Rao, N. D., Riahi, K., &amp; Grubler, A. (2014). Climate impacts of poverty eradication. </w:t>
      </w:r>
      <w:r w:rsidRPr="006208B4">
        <w:rPr>
          <w:rFonts w:ascii="Aptos" w:hAnsi="Aptos" w:cs="Times New Roman"/>
          <w:i/>
          <w:iCs/>
          <w:noProof/>
          <w:kern w:val="0"/>
        </w:rPr>
        <w:t>Nature</w:t>
      </w:r>
      <w:r w:rsidRPr="006208B4">
        <w:rPr>
          <w:rFonts w:ascii="Aptos" w:hAnsi="Aptos" w:cs="Times New Roman"/>
          <w:noProof/>
          <w:kern w:val="0"/>
        </w:rPr>
        <w:t xml:space="preserve">, </w:t>
      </w:r>
      <w:r w:rsidRPr="006208B4">
        <w:rPr>
          <w:rFonts w:ascii="Aptos" w:hAnsi="Aptos" w:cs="Times New Roman"/>
          <w:i/>
          <w:iCs/>
          <w:noProof/>
          <w:kern w:val="0"/>
        </w:rPr>
        <w:t>4</w:t>
      </w:r>
      <w:r w:rsidRPr="006208B4">
        <w:rPr>
          <w:rFonts w:ascii="Aptos" w:hAnsi="Aptos" w:cs="Times New Roman"/>
          <w:noProof/>
          <w:kern w:val="0"/>
        </w:rPr>
        <w:t>, 749–751. https://doi.org/10.1038/nclimate2340</w:t>
      </w:r>
    </w:p>
    <w:p w14:paraId="1B1E0D11"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Rockström, J., Steffen, W., Noone, K., Persson, Å., Chapin III, F. S., Lambin, E. F., Lenton, T. M., Scheffer, M., Folke, C., Schellnhuber, H. J., Nykvist, B., De Wit, C. A., Hughes, T., van der Leeuw, S., Rodhe, H., Sörlin, S., Snyder, P. K., Costanza, R., Svedin, U., … Foley, J. A. (2009). A safe operating space for humanity. </w:t>
      </w:r>
      <w:r w:rsidRPr="006208B4">
        <w:rPr>
          <w:rFonts w:ascii="Aptos" w:hAnsi="Aptos" w:cs="Times New Roman"/>
          <w:i/>
          <w:iCs/>
          <w:noProof/>
          <w:kern w:val="0"/>
        </w:rPr>
        <w:t>Nature</w:t>
      </w:r>
      <w:r w:rsidRPr="006208B4">
        <w:rPr>
          <w:rFonts w:ascii="Aptos" w:hAnsi="Aptos" w:cs="Times New Roman"/>
          <w:noProof/>
          <w:kern w:val="0"/>
        </w:rPr>
        <w:t xml:space="preserve">, </w:t>
      </w:r>
      <w:r w:rsidRPr="006208B4">
        <w:rPr>
          <w:rFonts w:ascii="Aptos" w:hAnsi="Aptos" w:cs="Times New Roman"/>
          <w:i/>
          <w:iCs/>
          <w:noProof/>
          <w:kern w:val="0"/>
        </w:rPr>
        <w:t>461</w:t>
      </w:r>
      <w:r w:rsidRPr="006208B4">
        <w:rPr>
          <w:rFonts w:ascii="Aptos" w:hAnsi="Aptos" w:cs="Times New Roman"/>
          <w:noProof/>
          <w:kern w:val="0"/>
        </w:rPr>
        <w:t xml:space="preserve">, </w:t>
      </w:r>
      <w:r w:rsidRPr="006208B4">
        <w:rPr>
          <w:rFonts w:ascii="Aptos" w:hAnsi="Aptos" w:cs="Times New Roman"/>
          <w:noProof/>
          <w:kern w:val="0"/>
        </w:rPr>
        <w:lastRenderedPageBreak/>
        <w:t>472–475.</w:t>
      </w:r>
    </w:p>
    <w:p w14:paraId="6AE810C7"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Rodrik, D. (2015). Green industrial policy. </w:t>
      </w:r>
      <w:r w:rsidRPr="006208B4">
        <w:rPr>
          <w:rFonts w:ascii="Aptos" w:hAnsi="Aptos" w:cs="Times New Roman"/>
          <w:i/>
          <w:iCs/>
          <w:noProof/>
          <w:kern w:val="0"/>
        </w:rPr>
        <w:t>Oxford Review of Economic Policy</w:t>
      </w:r>
      <w:r w:rsidRPr="006208B4">
        <w:rPr>
          <w:rFonts w:ascii="Aptos" w:hAnsi="Aptos" w:cs="Times New Roman"/>
          <w:noProof/>
          <w:kern w:val="0"/>
        </w:rPr>
        <w:t xml:space="preserve">, </w:t>
      </w:r>
      <w:r w:rsidRPr="006208B4">
        <w:rPr>
          <w:rFonts w:ascii="Aptos" w:hAnsi="Aptos" w:cs="Times New Roman"/>
          <w:i/>
          <w:iCs/>
          <w:noProof/>
          <w:kern w:val="0"/>
        </w:rPr>
        <w:t>30</w:t>
      </w:r>
      <w:r w:rsidRPr="006208B4">
        <w:rPr>
          <w:rFonts w:ascii="Aptos" w:hAnsi="Aptos" w:cs="Times New Roman"/>
          <w:noProof/>
          <w:kern w:val="0"/>
        </w:rPr>
        <w:t>(3), 469–491. https://doi.org/10.1093/oxrep/gru025</w:t>
      </w:r>
    </w:p>
    <w:p w14:paraId="63D886B2"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Rosenbloom, D., Markard, J., Geels, F. W., &amp; Fuenfschilling, L. (2020). Why carbon pricing is not sufficient to mitigate climate change—and how “sustainability transition policy” can help. </w:t>
      </w:r>
      <w:r w:rsidRPr="006208B4">
        <w:rPr>
          <w:rFonts w:ascii="Aptos" w:hAnsi="Aptos" w:cs="Times New Roman"/>
          <w:i/>
          <w:iCs/>
          <w:noProof/>
          <w:kern w:val="0"/>
        </w:rPr>
        <w:t>Proceedings of the National Academy of Sciences of the United States of America</w:t>
      </w:r>
      <w:r w:rsidRPr="006208B4">
        <w:rPr>
          <w:rFonts w:ascii="Aptos" w:hAnsi="Aptos" w:cs="Times New Roman"/>
          <w:noProof/>
          <w:kern w:val="0"/>
        </w:rPr>
        <w:t xml:space="preserve">, </w:t>
      </w:r>
      <w:r w:rsidRPr="006208B4">
        <w:rPr>
          <w:rFonts w:ascii="Aptos" w:hAnsi="Aptos" w:cs="Times New Roman"/>
          <w:i/>
          <w:iCs/>
          <w:noProof/>
          <w:kern w:val="0"/>
        </w:rPr>
        <w:t>117</w:t>
      </w:r>
      <w:r w:rsidRPr="006208B4">
        <w:rPr>
          <w:rFonts w:ascii="Aptos" w:hAnsi="Aptos" w:cs="Times New Roman"/>
          <w:noProof/>
          <w:kern w:val="0"/>
        </w:rPr>
        <w:t>(16), 8664–8668. https://doi.org/10.1073/pnas.2004093117</w:t>
      </w:r>
    </w:p>
    <w:p w14:paraId="04B443CB"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Schmidt, V. A., &amp; Radaelli, C. M. (2004). Policy change and discourse in Europe: Conceptual and methodological issues. </w:t>
      </w:r>
      <w:r w:rsidRPr="006208B4">
        <w:rPr>
          <w:rFonts w:ascii="Aptos" w:hAnsi="Aptos" w:cs="Times New Roman"/>
          <w:i/>
          <w:iCs/>
          <w:noProof/>
          <w:kern w:val="0"/>
        </w:rPr>
        <w:t>West European Politics</w:t>
      </w:r>
      <w:r w:rsidRPr="006208B4">
        <w:rPr>
          <w:rFonts w:ascii="Aptos" w:hAnsi="Aptos" w:cs="Times New Roman"/>
          <w:noProof/>
          <w:kern w:val="0"/>
        </w:rPr>
        <w:t xml:space="preserve">, </w:t>
      </w:r>
      <w:r w:rsidRPr="006208B4">
        <w:rPr>
          <w:rFonts w:ascii="Aptos" w:hAnsi="Aptos" w:cs="Times New Roman"/>
          <w:i/>
          <w:iCs/>
          <w:noProof/>
          <w:kern w:val="0"/>
        </w:rPr>
        <w:t>27</w:t>
      </w:r>
      <w:r w:rsidRPr="006208B4">
        <w:rPr>
          <w:rFonts w:ascii="Aptos" w:hAnsi="Aptos" w:cs="Times New Roman"/>
          <w:noProof/>
          <w:kern w:val="0"/>
        </w:rPr>
        <w:t>(2), 183–210. https://doi.org/10.1080/0140238042000214874</w:t>
      </w:r>
    </w:p>
    <w:p w14:paraId="12997028"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Schor, J. B., &amp; Jorgenson, A. K. (2019). Is it Too Late for Growth? </w:t>
      </w:r>
      <w:r w:rsidRPr="006208B4">
        <w:rPr>
          <w:rFonts w:ascii="Aptos" w:hAnsi="Aptos" w:cs="Times New Roman"/>
          <w:i/>
          <w:iCs/>
          <w:noProof/>
          <w:kern w:val="0"/>
        </w:rPr>
        <w:t>Review of Radical Political Economics</w:t>
      </w:r>
      <w:r w:rsidRPr="006208B4">
        <w:rPr>
          <w:rFonts w:ascii="Aptos" w:hAnsi="Aptos" w:cs="Times New Roman"/>
          <w:noProof/>
          <w:kern w:val="0"/>
        </w:rPr>
        <w:t xml:space="preserve">, </w:t>
      </w:r>
      <w:r w:rsidRPr="006208B4">
        <w:rPr>
          <w:rFonts w:ascii="Aptos" w:hAnsi="Aptos" w:cs="Times New Roman"/>
          <w:i/>
          <w:iCs/>
          <w:noProof/>
          <w:kern w:val="0"/>
        </w:rPr>
        <w:t>51</w:t>
      </w:r>
      <w:r w:rsidRPr="006208B4">
        <w:rPr>
          <w:rFonts w:ascii="Aptos" w:hAnsi="Aptos" w:cs="Times New Roman"/>
          <w:noProof/>
          <w:kern w:val="0"/>
        </w:rPr>
        <w:t>(2), 320–329. https://doi.org/10.1177/0486613419831109</w:t>
      </w:r>
    </w:p>
    <w:p w14:paraId="237064DB"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Solow, R. M. (1974). The Economics of Resources or the Resources of Economics. </w:t>
      </w:r>
      <w:r w:rsidRPr="006208B4">
        <w:rPr>
          <w:rFonts w:ascii="Aptos" w:hAnsi="Aptos" w:cs="Times New Roman"/>
          <w:i/>
          <w:iCs/>
          <w:noProof/>
          <w:kern w:val="0"/>
        </w:rPr>
        <w:t>The American Economic Review</w:t>
      </w:r>
      <w:r w:rsidRPr="006208B4">
        <w:rPr>
          <w:rFonts w:ascii="Aptos" w:hAnsi="Aptos" w:cs="Times New Roman"/>
          <w:noProof/>
          <w:kern w:val="0"/>
        </w:rPr>
        <w:t xml:space="preserve">, </w:t>
      </w:r>
      <w:r w:rsidRPr="006208B4">
        <w:rPr>
          <w:rFonts w:ascii="Aptos" w:hAnsi="Aptos" w:cs="Times New Roman"/>
          <w:i/>
          <w:iCs/>
          <w:noProof/>
          <w:kern w:val="0"/>
        </w:rPr>
        <w:t>64</w:t>
      </w:r>
      <w:r w:rsidRPr="006208B4">
        <w:rPr>
          <w:rFonts w:ascii="Aptos" w:hAnsi="Aptos" w:cs="Times New Roman"/>
          <w:noProof/>
          <w:kern w:val="0"/>
        </w:rPr>
        <w:t>(2), 1–14.</w:t>
      </w:r>
    </w:p>
    <w:p w14:paraId="29D9F37C"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Spash, C. L. (2020). A tale of three paradigms: Realising the revolutionary potential of ecological economics. </w:t>
      </w:r>
      <w:r w:rsidRPr="006208B4">
        <w:rPr>
          <w:rFonts w:ascii="Aptos" w:hAnsi="Aptos" w:cs="Times New Roman"/>
          <w:i/>
          <w:iCs/>
          <w:noProof/>
          <w:kern w:val="0"/>
        </w:rPr>
        <w:t>Ecological Economics</w:t>
      </w:r>
      <w:r w:rsidRPr="006208B4">
        <w:rPr>
          <w:rFonts w:ascii="Aptos" w:hAnsi="Aptos" w:cs="Times New Roman"/>
          <w:noProof/>
          <w:kern w:val="0"/>
        </w:rPr>
        <w:t xml:space="preserve">, </w:t>
      </w:r>
      <w:r w:rsidRPr="006208B4">
        <w:rPr>
          <w:rFonts w:ascii="Aptos" w:hAnsi="Aptos" w:cs="Times New Roman"/>
          <w:i/>
          <w:iCs/>
          <w:noProof/>
          <w:kern w:val="0"/>
        </w:rPr>
        <w:t>169</w:t>
      </w:r>
      <w:r w:rsidRPr="006208B4">
        <w:rPr>
          <w:rFonts w:ascii="Aptos" w:hAnsi="Aptos" w:cs="Times New Roman"/>
          <w:noProof/>
          <w:kern w:val="0"/>
        </w:rPr>
        <w:t>, 106518. https://doi.org/10.1016/j.ecolecon.2019.106518</w:t>
      </w:r>
    </w:p>
    <w:p w14:paraId="295EB24B"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Steffen, W., Richardson, K., Rockström, J., Cornell, S. E., Fetzer, I., Bennett, E. M., Biggs, R., Carpenter, S. R., de Vries, W., de Wit, C. A., Folke, C., Gerten, D., Heinke, J., Mace, G. M., Persson, L. M., Ramanathan, V., Reyers, B., &amp; Sörlin, S. (2015). Planetary boundaries: Guiding human development on a changing planet. </w:t>
      </w:r>
      <w:r w:rsidRPr="006208B4">
        <w:rPr>
          <w:rFonts w:ascii="Aptos" w:hAnsi="Aptos" w:cs="Times New Roman"/>
          <w:i/>
          <w:iCs/>
          <w:noProof/>
          <w:kern w:val="0"/>
        </w:rPr>
        <w:t>Science</w:t>
      </w:r>
      <w:r w:rsidRPr="006208B4">
        <w:rPr>
          <w:rFonts w:ascii="Aptos" w:hAnsi="Aptos" w:cs="Times New Roman"/>
          <w:noProof/>
          <w:kern w:val="0"/>
        </w:rPr>
        <w:t xml:space="preserve">, </w:t>
      </w:r>
      <w:r w:rsidRPr="006208B4">
        <w:rPr>
          <w:rFonts w:ascii="Aptos" w:hAnsi="Aptos" w:cs="Times New Roman"/>
          <w:i/>
          <w:iCs/>
          <w:noProof/>
          <w:kern w:val="0"/>
        </w:rPr>
        <w:t>347</w:t>
      </w:r>
      <w:r w:rsidRPr="006208B4">
        <w:rPr>
          <w:rFonts w:ascii="Aptos" w:hAnsi="Aptos" w:cs="Times New Roman"/>
          <w:noProof/>
          <w:kern w:val="0"/>
        </w:rPr>
        <w:t>(6223), n.1259855. https://doi.org/10.1126/science.1259855</w:t>
      </w:r>
    </w:p>
    <w:p w14:paraId="30EA9D58"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Tinbergen, J. (1956). </w:t>
      </w:r>
      <w:r w:rsidRPr="006208B4">
        <w:rPr>
          <w:rFonts w:ascii="Aptos" w:hAnsi="Aptos" w:cs="Times New Roman"/>
          <w:i/>
          <w:iCs/>
          <w:noProof/>
          <w:kern w:val="0"/>
        </w:rPr>
        <w:t>Economic Policy: Principles and Design</w:t>
      </w:r>
      <w:r w:rsidRPr="006208B4">
        <w:rPr>
          <w:rFonts w:ascii="Aptos" w:hAnsi="Aptos" w:cs="Times New Roman"/>
          <w:noProof/>
          <w:kern w:val="0"/>
        </w:rPr>
        <w:t>. North Holland Publishing Company.</w:t>
      </w:r>
    </w:p>
    <w:p w14:paraId="33A3185B"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UNEP. (2009). </w:t>
      </w:r>
      <w:r w:rsidRPr="006208B4">
        <w:rPr>
          <w:rFonts w:ascii="Aptos" w:hAnsi="Aptos" w:cs="Times New Roman"/>
          <w:i/>
          <w:iCs/>
          <w:noProof/>
          <w:kern w:val="0"/>
        </w:rPr>
        <w:t>Global Green New Deal: Policy Brief</w:t>
      </w:r>
      <w:r w:rsidRPr="006208B4">
        <w:rPr>
          <w:rFonts w:ascii="Aptos" w:hAnsi="Aptos" w:cs="Times New Roman"/>
          <w:noProof/>
          <w:kern w:val="0"/>
        </w:rPr>
        <w:t xml:space="preserve"> (Vol. 19, Issue 2). https://www.unep.org/resources/report/global-green-new-deal-policy-brief-march-2009</w:t>
      </w:r>
    </w:p>
    <w:p w14:paraId="12EA174E"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Van den Bergh, J. C. J. M. (2011). Environment versus growth - A criticism of “degrowth” and a plea for “a-growth.” </w:t>
      </w:r>
      <w:r w:rsidRPr="006208B4">
        <w:rPr>
          <w:rFonts w:ascii="Aptos" w:hAnsi="Aptos" w:cs="Times New Roman"/>
          <w:i/>
          <w:iCs/>
          <w:noProof/>
          <w:kern w:val="0"/>
        </w:rPr>
        <w:t>Ecological Economics</w:t>
      </w:r>
      <w:r w:rsidRPr="006208B4">
        <w:rPr>
          <w:rFonts w:ascii="Aptos" w:hAnsi="Aptos" w:cs="Times New Roman"/>
          <w:noProof/>
          <w:kern w:val="0"/>
        </w:rPr>
        <w:t xml:space="preserve">, </w:t>
      </w:r>
      <w:r w:rsidRPr="006208B4">
        <w:rPr>
          <w:rFonts w:ascii="Aptos" w:hAnsi="Aptos" w:cs="Times New Roman"/>
          <w:i/>
          <w:iCs/>
          <w:noProof/>
          <w:kern w:val="0"/>
        </w:rPr>
        <w:t>70</w:t>
      </w:r>
      <w:r w:rsidRPr="006208B4">
        <w:rPr>
          <w:rFonts w:ascii="Aptos" w:hAnsi="Aptos" w:cs="Times New Roman"/>
          <w:noProof/>
          <w:kern w:val="0"/>
        </w:rPr>
        <w:t>(5), 881–890. https://doi.org/10.1016/j.ecolecon.2010.09.035</w:t>
      </w:r>
    </w:p>
    <w:p w14:paraId="398CC050"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Vogel, J., Steinberger, J. K., Neill, D. W. O., &amp; Lamb, W. F. (2021). Socio-economic conditions for satisfying human needs at low energy use: An international analysis of social provisioning. </w:t>
      </w:r>
      <w:r w:rsidRPr="006208B4">
        <w:rPr>
          <w:rFonts w:ascii="Aptos" w:hAnsi="Aptos" w:cs="Times New Roman"/>
          <w:i/>
          <w:iCs/>
          <w:noProof/>
          <w:kern w:val="0"/>
        </w:rPr>
        <w:t>Global Environmental Change</w:t>
      </w:r>
      <w:r w:rsidRPr="006208B4">
        <w:rPr>
          <w:rFonts w:ascii="Aptos" w:hAnsi="Aptos" w:cs="Times New Roman"/>
          <w:noProof/>
          <w:kern w:val="0"/>
        </w:rPr>
        <w:t xml:space="preserve">, </w:t>
      </w:r>
      <w:r w:rsidRPr="006208B4">
        <w:rPr>
          <w:rFonts w:ascii="Aptos" w:hAnsi="Aptos" w:cs="Times New Roman"/>
          <w:i/>
          <w:iCs/>
          <w:noProof/>
          <w:kern w:val="0"/>
        </w:rPr>
        <w:t>69</w:t>
      </w:r>
      <w:r w:rsidRPr="006208B4">
        <w:rPr>
          <w:rFonts w:ascii="Aptos" w:hAnsi="Aptos" w:cs="Times New Roman"/>
          <w:noProof/>
          <w:kern w:val="0"/>
        </w:rPr>
        <w:t>, n.102287. https://doi.org/10.1016/j.gloenvcha.2021.102287</w:t>
      </w:r>
    </w:p>
    <w:p w14:paraId="67BA80A5" w14:textId="77777777" w:rsidR="006208B4" w:rsidRPr="006208B4" w:rsidRDefault="006208B4" w:rsidP="006208B4">
      <w:pPr>
        <w:widowControl w:val="0"/>
        <w:autoSpaceDE w:val="0"/>
        <w:autoSpaceDN w:val="0"/>
        <w:adjustRightInd w:val="0"/>
        <w:spacing w:line="240" w:lineRule="auto"/>
        <w:ind w:left="480" w:hanging="480"/>
        <w:rPr>
          <w:rFonts w:ascii="Aptos" w:hAnsi="Aptos" w:cs="Times New Roman"/>
          <w:noProof/>
          <w:kern w:val="0"/>
        </w:rPr>
      </w:pPr>
      <w:r w:rsidRPr="006208B4">
        <w:rPr>
          <w:rFonts w:ascii="Aptos" w:hAnsi="Aptos" w:cs="Times New Roman"/>
          <w:noProof/>
          <w:kern w:val="0"/>
        </w:rPr>
        <w:t xml:space="preserve">Wiedmann, T., Lenzen, M., Keyßer, L. T., &amp; Steinberger, J. K. (2020). Scientists’ warning on affluence. </w:t>
      </w:r>
      <w:r w:rsidRPr="006208B4">
        <w:rPr>
          <w:rFonts w:ascii="Aptos" w:hAnsi="Aptos" w:cs="Times New Roman"/>
          <w:i/>
          <w:iCs/>
          <w:noProof/>
          <w:kern w:val="0"/>
        </w:rPr>
        <w:t>Nature Communications</w:t>
      </w:r>
      <w:r w:rsidRPr="006208B4">
        <w:rPr>
          <w:rFonts w:ascii="Aptos" w:hAnsi="Aptos" w:cs="Times New Roman"/>
          <w:noProof/>
          <w:kern w:val="0"/>
        </w:rPr>
        <w:t xml:space="preserve">, </w:t>
      </w:r>
      <w:r w:rsidRPr="006208B4">
        <w:rPr>
          <w:rFonts w:ascii="Aptos" w:hAnsi="Aptos" w:cs="Times New Roman"/>
          <w:i/>
          <w:iCs/>
          <w:noProof/>
          <w:kern w:val="0"/>
        </w:rPr>
        <w:t>11</w:t>
      </w:r>
      <w:r w:rsidRPr="006208B4">
        <w:rPr>
          <w:rFonts w:ascii="Aptos" w:hAnsi="Aptos" w:cs="Times New Roman"/>
          <w:noProof/>
          <w:kern w:val="0"/>
        </w:rPr>
        <w:t>(n.3107). https://doi.org/10.1038/s41467-020-16941-y</w:t>
      </w:r>
    </w:p>
    <w:p w14:paraId="78E633FF" w14:textId="77777777" w:rsidR="006208B4" w:rsidRPr="006208B4" w:rsidRDefault="006208B4" w:rsidP="006208B4">
      <w:pPr>
        <w:widowControl w:val="0"/>
        <w:autoSpaceDE w:val="0"/>
        <w:autoSpaceDN w:val="0"/>
        <w:adjustRightInd w:val="0"/>
        <w:spacing w:line="240" w:lineRule="auto"/>
        <w:ind w:left="480" w:hanging="480"/>
        <w:rPr>
          <w:rFonts w:ascii="Aptos" w:hAnsi="Aptos"/>
          <w:noProof/>
        </w:rPr>
      </w:pPr>
      <w:r w:rsidRPr="006208B4">
        <w:rPr>
          <w:rFonts w:ascii="Aptos" w:hAnsi="Aptos" w:cs="Times New Roman"/>
          <w:noProof/>
          <w:kern w:val="0"/>
        </w:rPr>
        <w:t xml:space="preserve">Zenghelis, D. (2014). In praise of a green stimulus. </w:t>
      </w:r>
      <w:r w:rsidRPr="006208B4">
        <w:rPr>
          <w:rFonts w:ascii="Aptos" w:hAnsi="Aptos" w:cs="Times New Roman"/>
          <w:i/>
          <w:iCs/>
          <w:noProof/>
          <w:kern w:val="0"/>
        </w:rPr>
        <w:t>Wiley Interdisciplinary Reviews: Climate Change</w:t>
      </w:r>
      <w:r w:rsidRPr="006208B4">
        <w:rPr>
          <w:rFonts w:ascii="Aptos" w:hAnsi="Aptos" w:cs="Times New Roman"/>
          <w:noProof/>
          <w:kern w:val="0"/>
        </w:rPr>
        <w:t xml:space="preserve">, </w:t>
      </w:r>
      <w:r w:rsidRPr="006208B4">
        <w:rPr>
          <w:rFonts w:ascii="Aptos" w:hAnsi="Aptos" w:cs="Times New Roman"/>
          <w:i/>
          <w:iCs/>
          <w:noProof/>
          <w:kern w:val="0"/>
        </w:rPr>
        <w:t>5</w:t>
      </w:r>
      <w:r w:rsidRPr="006208B4">
        <w:rPr>
          <w:rFonts w:ascii="Aptos" w:hAnsi="Aptos" w:cs="Times New Roman"/>
          <w:noProof/>
          <w:kern w:val="0"/>
        </w:rPr>
        <w:t>(1), 7–14. https://doi.org/10.1002/wcc.256</w:t>
      </w:r>
    </w:p>
    <w:p w14:paraId="11139DD3" w14:textId="17EB8151" w:rsidR="007B79EC" w:rsidRDefault="00D30583">
      <w:r>
        <w:lastRenderedPageBreak/>
        <w:fldChar w:fldCharType="end"/>
      </w:r>
    </w:p>
    <w:p w14:paraId="1886860C" w14:textId="77777777" w:rsidR="007B79EC" w:rsidRDefault="007B79EC"/>
    <w:sectPr w:rsidR="007B79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2C207" w14:textId="77777777" w:rsidR="00113CE4" w:rsidRDefault="00113CE4" w:rsidP="00DE27E9">
      <w:pPr>
        <w:spacing w:after="0" w:line="240" w:lineRule="auto"/>
      </w:pPr>
      <w:r>
        <w:separator/>
      </w:r>
    </w:p>
  </w:endnote>
  <w:endnote w:type="continuationSeparator" w:id="0">
    <w:p w14:paraId="0E06E831" w14:textId="77777777" w:rsidR="00113CE4" w:rsidRDefault="00113CE4" w:rsidP="00DE2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B3701" w14:textId="77777777" w:rsidR="00113CE4" w:rsidRDefault="00113CE4" w:rsidP="00DE27E9">
      <w:pPr>
        <w:spacing w:after="0" w:line="240" w:lineRule="auto"/>
      </w:pPr>
      <w:r>
        <w:separator/>
      </w:r>
    </w:p>
  </w:footnote>
  <w:footnote w:type="continuationSeparator" w:id="0">
    <w:p w14:paraId="5255F82A" w14:textId="77777777" w:rsidR="00113CE4" w:rsidRDefault="00113CE4" w:rsidP="00DE27E9">
      <w:pPr>
        <w:spacing w:after="0" w:line="240" w:lineRule="auto"/>
      </w:pPr>
      <w:r>
        <w:continuationSeparator/>
      </w:r>
    </w:p>
  </w:footnote>
  <w:footnote w:id="1">
    <w:p w14:paraId="01BA226E" w14:textId="77777777" w:rsidR="00890ED7" w:rsidRPr="00F56055" w:rsidRDefault="00890ED7" w:rsidP="00890ED7">
      <w:pPr>
        <w:pStyle w:val="FootnoteText"/>
        <w:rPr>
          <w:rFonts w:asciiTheme="minorHAnsi" w:hAnsiTheme="minorHAnsi"/>
        </w:rPr>
      </w:pPr>
      <w:r w:rsidRPr="00322ECE">
        <w:rPr>
          <w:rStyle w:val="FootnoteReference"/>
        </w:rPr>
        <w:footnoteRef/>
      </w:r>
      <w:r w:rsidRPr="00F56055">
        <w:rPr>
          <w:rFonts w:asciiTheme="minorHAnsi" w:hAnsiTheme="minorHAnsi"/>
        </w:rPr>
        <w:t xml:space="preserve"> The studied organisations were: the G7/G8, the Organisation for Economic Cooperation and Development (OECD), the United Nations Environment Programme (UNEP), the United Nations Development Programme (UNDP), the World Bank and the UNFCCC.</w:t>
      </w:r>
    </w:p>
  </w:footnote>
  <w:footnote w:id="2">
    <w:p w14:paraId="745481F5" w14:textId="78E61E2F" w:rsidR="00DE27E9" w:rsidRPr="00F56055" w:rsidRDefault="00DE27E9" w:rsidP="00DE27E9">
      <w:pPr>
        <w:pStyle w:val="FootnoteText"/>
        <w:rPr>
          <w:rFonts w:asciiTheme="minorHAnsi" w:hAnsiTheme="minorHAnsi"/>
        </w:rPr>
      </w:pPr>
      <w:r w:rsidRPr="00322ECE">
        <w:rPr>
          <w:rStyle w:val="FootnoteReference"/>
        </w:rPr>
        <w:footnoteRef/>
      </w:r>
      <w:r w:rsidRPr="00F56055">
        <w:rPr>
          <w:rFonts w:asciiTheme="minorHAnsi" w:hAnsiTheme="minorHAnsi"/>
        </w:rPr>
        <w:t xml:space="preserve"> Or “social ecological economics” </w:t>
      </w:r>
      <w:r w:rsidRPr="00F56055">
        <w:rPr>
          <w:rFonts w:asciiTheme="minorHAnsi" w:hAnsiTheme="minorHAnsi"/>
        </w:rPr>
        <w:fldChar w:fldCharType="begin" w:fldLock="1"/>
      </w:r>
      <w:r w:rsidR="006208B4">
        <w:rPr>
          <w:rFonts w:asciiTheme="minorHAnsi" w:hAnsiTheme="minorHAnsi"/>
        </w:rPr>
        <w:instrText>ADDIN CSL_CITATION {"citationItems":[{"id":"ITEM-1","itemData":{"DOI":"10.1016/j.ecolecon.2019.106518","ISSN":"09218009","abstract":"Ecological economics has ontological foundations that inform it as a paradigm both biophysically and socially. It stands in strong opposition to mainstream thought on the operations of the economy and society. The core arguments deconstruct and oppose both growth and price-making market paradigms. However, in contradiction of these theoretical foundations, ecological economists can be found who call upon neoclassical economic theory as insightful, price-making and capitalist markets as socially justified means of allocation and economic growth as achieving progress and development. The more radical steady-state and post-growth/degrowth movements are shown to include confused and conflicted stances in relation to the mainstream hegemonic paradigms. Ecological economics personally challenges those trained in mainstream theory to move beyond their orthodox education and leave behind the flawed theories and concepts that contribute to supporting systems that create social, ecological and economic crises. This paper makes explicit the paradigmatic struggle of the past thirty years and the need to wipe away mainstream apologetics, pragmatic conformity and ill-conceived postmodern pluralism. It details the core paradigmatic conflict and specifies the alternative social ecological economic paradigm along with a new research agenda.","author":[{"dropping-particle":"","family":"Spash","given":"Clive L.","non-dropping-particle":"","parse-names":false,"suffix":""}],"container-title":"Ecological Economics","id":"ITEM-1","issued":{"date-parts":[["2020"]]},"page":"106518","publisher":"Elsevier","title":"A tale of three paradigms: Realising the revolutionary potential of ecological economics","type":"article-journal","volume":"169"},"uris":["http://www.mendeley.com/documents/?uuid=74e5d188-ed9b-4a67-8e93-14e93e56b243"]}],"mendeley":{"formattedCitation":"(Spash, 2020)","plainTextFormattedCitation":"(Spash, 2020)","previouslyFormattedCitation":"(Spash 2020)"},"properties":{"noteIndex":0},"schema":"https://github.com/citation-style-language/schema/raw/master/csl-citation.json"}</w:instrText>
      </w:r>
      <w:r w:rsidRPr="00F56055">
        <w:rPr>
          <w:rFonts w:asciiTheme="minorHAnsi" w:hAnsiTheme="minorHAnsi"/>
        </w:rPr>
        <w:fldChar w:fldCharType="separate"/>
      </w:r>
      <w:r w:rsidR="006208B4" w:rsidRPr="006208B4">
        <w:rPr>
          <w:rFonts w:asciiTheme="minorHAnsi" w:hAnsiTheme="minorHAnsi"/>
          <w:noProof/>
        </w:rPr>
        <w:t>(Spash, 2020)</w:t>
      </w:r>
      <w:r w:rsidRPr="00F56055">
        <w:rPr>
          <w:rFonts w:asciiTheme="minorHAnsi" w:hAnsiTheme="minorHAnsi"/>
        </w:rPr>
        <w:fldChar w:fldCharType="end"/>
      </w:r>
      <w:r w:rsidRPr="00F56055">
        <w:rPr>
          <w:rFonts w:asciiTheme="minorHAnsi" w:hAnsiTheme="minorHAnsi"/>
        </w:rPr>
        <w:t>.</w:t>
      </w:r>
    </w:p>
  </w:footnote>
  <w:footnote w:id="3">
    <w:p w14:paraId="67C6CE82" w14:textId="77777777" w:rsidR="006B0FE8" w:rsidRPr="00F56055" w:rsidRDefault="006B0FE8" w:rsidP="006B0FE8">
      <w:pPr>
        <w:pStyle w:val="FootnoteText"/>
        <w:rPr>
          <w:rFonts w:asciiTheme="minorHAnsi" w:hAnsiTheme="minorHAnsi"/>
        </w:rPr>
      </w:pPr>
      <w:r w:rsidRPr="00322ECE">
        <w:rPr>
          <w:rStyle w:val="FootnoteReference"/>
        </w:rPr>
        <w:footnoteRef/>
      </w:r>
      <w:r w:rsidRPr="00F56055">
        <w:rPr>
          <w:rFonts w:asciiTheme="minorHAnsi" w:hAnsiTheme="minorHAnsi"/>
        </w:rPr>
        <w:t xml:space="preserve"> </w:t>
      </w:r>
      <w:r w:rsidRPr="00F56055">
        <w:rPr>
          <w:rFonts w:asciiTheme="minorHAnsi" w:hAnsiTheme="minorHAnsi"/>
          <w:lang w:val="en-US"/>
        </w:rPr>
        <w:t xml:space="preserve">On some neoclassical views, the state’s role legitimately extends to </w:t>
      </w:r>
      <w:r w:rsidRPr="00F56055">
        <w:rPr>
          <w:rFonts w:asciiTheme="minorHAnsi" w:hAnsiTheme="minorHAnsi"/>
          <w:i/>
          <w:iCs/>
        </w:rPr>
        <w:t>redistributing</w:t>
      </w:r>
      <w:r w:rsidRPr="00F56055">
        <w:rPr>
          <w:rFonts w:asciiTheme="minorHAnsi" w:hAnsiTheme="minorHAnsi"/>
        </w:rPr>
        <w:t xml:space="preserve"> wealth so as to maximise aggregate </w:t>
      </w:r>
      <w:r w:rsidRPr="00F56055">
        <w:rPr>
          <w:rFonts w:asciiTheme="minorHAnsi" w:hAnsiTheme="minorHAnsi"/>
          <w:i/>
          <w:iCs/>
        </w:rPr>
        <w:t>welfare</w:t>
      </w:r>
      <w:r w:rsidRPr="00F56055">
        <w:rPr>
          <w:rFonts w:asciiTheme="minorHAnsi" w:hAnsiTheme="minorHAnsi"/>
        </w:rPr>
        <w:t>, since for each person an additional dollar of wealth creates diminishing marginal increases in welfare.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3ED8"/>
    <w:multiLevelType w:val="hybridMultilevel"/>
    <w:tmpl w:val="714CCB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06434A"/>
    <w:multiLevelType w:val="hybridMultilevel"/>
    <w:tmpl w:val="688ACC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B9302C"/>
    <w:multiLevelType w:val="hybridMultilevel"/>
    <w:tmpl w:val="948C6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F92D34"/>
    <w:multiLevelType w:val="hybridMultilevel"/>
    <w:tmpl w:val="AB50B6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D8E3D66"/>
    <w:multiLevelType w:val="hybridMultilevel"/>
    <w:tmpl w:val="58FE7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A696E7F"/>
    <w:multiLevelType w:val="hybridMultilevel"/>
    <w:tmpl w:val="92984F76"/>
    <w:lvl w:ilvl="0" w:tplc="08090001">
      <w:start w:val="1"/>
      <w:numFmt w:val="bullet"/>
      <w:lvlText w:val=""/>
      <w:lvlJc w:val="left"/>
      <w:pPr>
        <w:ind w:left="774" w:hanging="360"/>
      </w:pPr>
      <w:rPr>
        <w:rFonts w:ascii="Symbol" w:hAnsi="Symbol" w:hint="default"/>
      </w:rPr>
    </w:lvl>
    <w:lvl w:ilvl="1" w:tplc="08090003">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num w:numId="1" w16cid:durableId="918516697">
    <w:abstractNumId w:val="2"/>
  </w:num>
  <w:num w:numId="2" w16cid:durableId="1079057576">
    <w:abstractNumId w:val="1"/>
  </w:num>
  <w:num w:numId="3" w16cid:durableId="633953442">
    <w:abstractNumId w:val="5"/>
  </w:num>
  <w:num w:numId="4" w16cid:durableId="1828083138">
    <w:abstractNumId w:val="3"/>
  </w:num>
  <w:num w:numId="5" w16cid:durableId="1348487119">
    <w:abstractNumId w:val="0"/>
  </w:num>
  <w:num w:numId="6" w16cid:durableId="3146476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F66"/>
    <w:rsid w:val="00023384"/>
    <w:rsid w:val="00042585"/>
    <w:rsid w:val="00045AD9"/>
    <w:rsid w:val="00064B5B"/>
    <w:rsid w:val="0008620D"/>
    <w:rsid w:val="00086536"/>
    <w:rsid w:val="000A6245"/>
    <w:rsid w:val="000A6963"/>
    <w:rsid w:val="000A6CE7"/>
    <w:rsid w:val="000C5D11"/>
    <w:rsid w:val="000D5B66"/>
    <w:rsid w:val="00112976"/>
    <w:rsid w:val="00113CE4"/>
    <w:rsid w:val="00114629"/>
    <w:rsid w:val="00120C51"/>
    <w:rsid w:val="00142CBD"/>
    <w:rsid w:val="0014530D"/>
    <w:rsid w:val="00150DEF"/>
    <w:rsid w:val="00155A7C"/>
    <w:rsid w:val="00187391"/>
    <w:rsid w:val="001914F8"/>
    <w:rsid w:val="001A1EF1"/>
    <w:rsid w:val="001A2A57"/>
    <w:rsid w:val="001A4529"/>
    <w:rsid w:val="001B1F51"/>
    <w:rsid w:val="001B45B8"/>
    <w:rsid w:val="001C236B"/>
    <w:rsid w:val="001C4E7D"/>
    <w:rsid w:val="001D042D"/>
    <w:rsid w:val="001D1AB1"/>
    <w:rsid w:val="001D607D"/>
    <w:rsid w:val="001E0A1C"/>
    <w:rsid w:val="001E7049"/>
    <w:rsid w:val="00200C40"/>
    <w:rsid w:val="002126C5"/>
    <w:rsid w:val="002235F9"/>
    <w:rsid w:val="002440D5"/>
    <w:rsid w:val="002504C0"/>
    <w:rsid w:val="00254431"/>
    <w:rsid w:val="002717E6"/>
    <w:rsid w:val="00282F13"/>
    <w:rsid w:val="00292D21"/>
    <w:rsid w:val="00293BE9"/>
    <w:rsid w:val="002A0246"/>
    <w:rsid w:val="002B1332"/>
    <w:rsid w:val="002B541B"/>
    <w:rsid w:val="002C0A4B"/>
    <w:rsid w:val="002C22A7"/>
    <w:rsid w:val="002C7872"/>
    <w:rsid w:val="002D047C"/>
    <w:rsid w:val="002D4D21"/>
    <w:rsid w:val="00320902"/>
    <w:rsid w:val="00321A3F"/>
    <w:rsid w:val="00322ECE"/>
    <w:rsid w:val="0033574A"/>
    <w:rsid w:val="00351E70"/>
    <w:rsid w:val="00374DEC"/>
    <w:rsid w:val="00383155"/>
    <w:rsid w:val="003877EB"/>
    <w:rsid w:val="00390051"/>
    <w:rsid w:val="003937BD"/>
    <w:rsid w:val="00396E93"/>
    <w:rsid w:val="003A0ED1"/>
    <w:rsid w:val="003A203E"/>
    <w:rsid w:val="003B068E"/>
    <w:rsid w:val="003B1A35"/>
    <w:rsid w:val="003C06FD"/>
    <w:rsid w:val="003C5B1B"/>
    <w:rsid w:val="003D3E86"/>
    <w:rsid w:val="003D41EC"/>
    <w:rsid w:val="003F7DD9"/>
    <w:rsid w:val="004012FC"/>
    <w:rsid w:val="00444CEC"/>
    <w:rsid w:val="00446D65"/>
    <w:rsid w:val="00464E09"/>
    <w:rsid w:val="004808CB"/>
    <w:rsid w:val="00481962"/>
    <w:rsid w:val="00483254"/>
    <w:rsid w:val="004937EE"/>
    <w:rsid w:val="004C17BC"/>
    <w:rsid w:val="004D21D6"/>
    <w:rsid w:val="004D4D9E"/>
    <w:rsid w:val="004F09F6"/>
    <w:rsid w:val="00503D86"/>
    <w:rsid w:val="00504E75"/>
    <w:rsid w:val="00561E08"/>
    <w:rsid w:val="00563B79"/>
    <w:rsid w:val="00565132"/>
    <w:rsid w:val="00572E4A"/>
    <w:rsid w:val="00586239"/>
    <w:rsid w:val="00590743"/>
    <w:rsid w:val="00591499"/>
    <w:rsid w:val="00596409"/>
    <w:rsid w:val="005A2A60"/>
    <w:rsid w:val="005B14A3"/>
    <w:rsid w:val="005B2B89"/>
    <w:rsid w:val="005C1906"/>
    <w:rsid w:val="00604C71"/>
    <w:rsid w:val="00607A9F"/>
    <w:rsid w:val="006208B4"/>
    <w:rsid w:val="00636890"/>
    <w:rsid w:val="006474D1"/>
    <w:rsid w:val="00680039"/>
    <w:rsid w:val="00683891"/>
    <w:rsid w:val="00686C63"/>
    <w:rsid w:val="00693C4C"/>
    <w:rsid w:val="00695434"/>
    <w:rsid w:val="006A47E3"/>
    <w:rsid w:val="006A4A85"/>
    <w:rsid w:val="006B0479"/>
    <w:rsid w:val="006B0FE8"/>
    <w:rsid w:val="006B2E35"/>
    <w:rsid w:val="0072427B"/>
    <w:rsid w:val="007246EB"/>
    <w:rsid w:val="00743B19"/>
    <w:rsid w:val="00752B71"/>
    <w:rsid w:val="00754638"/>
    <w:rsid w:val="007559F7"/>
    <w:rsid w:val="00794AF7"/>
    <w:rsid w:val="007A420B"/>
    <w:rsid w:val="007A461E"/>
    <w:rsid w:val="007A6764"/>
    <w:rsid w:val="007B1311"/>
    <w:rsid w:val="007B4FD8"/>
    <w:rsid w:val="007B79EC"/>
    <w:rsid w:val="007D11F4"/>
    <w:rsid w:val="007D547F"/>
    <w:rsid w:val="007D5B9D"/>
    <w:rsid w:val="007E5239"/>
    <w:rsid w:val="00801DE0"/>
    <w:rsid w:val="008065FA"/>
    <w:rsid w:val="00821559"/>
    <w:rsid w:val="008215E6"/>
    <w:rsid w:val="008301A0"/>
    <w:rsid w:val="008316A6"/>
    <w:rsid w:val="008353E0"/>
    <w:rsid w:val="008433C1"/>
    <w:rsid w:val="008448F0"/>
    <w:rsid w:val="00876364"/>
    <w:rsid w:val="00890ED7"/>
    <w:rsid w:val="00892D99"/>
    <w:rsid w:val="008B23A0"/>
    <w:rsid w:val="008C0C3C"/>
    <w:rsid w:val="008C2229"/>
    <w:rsid w:val="008C7E6E"/>
    <w:rsid w:val="008E7FAF"/>
    <w:rsid w:val="008F47C0"/>
    <w:rsid w:val="009112BF"/>
    <w:rsid w:val="009148AE"/>
    <w:rsid w:val="0092516F"/>
    <w:rsid w:val="009357C2"/>
    <w:rsid w:val="00941A66"/>
    <w:rsid w:val="00942D3D"/>
    <w:rsid w:val="00984C3B"/>
    <w:rsid w:val="0098677F"/>
    <w:rsid w:val="009872A9"/>
    <w:rsid w:val="009A48D8"/>
    <w:rsid w:val="009A619E"/>
    <w:rsid w:val="009B5DD9"/>
    <w:rsid w:val="009D6D58"/>
    <w:rsid w:val="00A0127E"/>
    <w:rsid w:val="00A07D1A"/>
    <w:rsid w:val="00A104AA"/>
    <w:rsid w:val="00A15181"/>
    <w:rsid w:val="00A15C48"/>
    <w:rsid w:val="00A25A53"/>
    <w:rsid w:val="00A2755B"/>
    <w:rsid w:val="00A4739D"/>
    <w:rsid w:val="00A5172A"/>
    <w:rsid w:val="00A671FC"/>
    <w:rsid w:val="00A67CDD"/>
    <w:rsid w:val="00A835B9"/>
    <w:rsid w:val="00A94F07"/>
    <w:rsid w:val="00A9624A"/>
    <w:rsid w:val="00A968BA"/>
    <w:rsid w:val="00AA266E"/>
    <w:rsid w:val="00AB0F47"/>
    <w:rsid w:val="00AC10EC"/>
    <w:rsid w:val="00AD5A5B"/>
    <w:rsid w:val="00AE502B"/>
    <w:rsid w:val="00B03041"/>
    <w:rsid w:val="00B067F2"/>
    <w:rsid w:val="00B07BE8"/>
    <w:rsid w:val="00B12B0F"/>
    <w:rsid w:val="00B21EBF"/>
    <w:rsid w:val="00B250DD"/>
    <w:rsid w:val="00B313F7"/>
    <w:rsid w:val="00B34A31"/>
    <w:rsid w:val="00B37F9F"/>
    <w:rsid w:val="00B4189E"/>
    <w:rsid w:val="00B4487C"/>
    <w:rsid w:val="00B464AD"/>
    <w:rsid w:val="00B73C78"/>
    <w:rsid w:val="00B83E87"/>
    <w:rsid w:val="00B941C8"/>
    <w:rsid w:val="00BD09A2"/>
    <w:rsid w:val="00BF1E66"/>
    <w:rsid w:val="00BF77C7"/>
    <w:rsid w:val="00C1679A"/>
    <w:rsid w:val="00C21B95"/>
    <w:rsid w:val="00C546B2"/>
    <w:rsid w:val="00C600B1"/>
    <w:rsid w:val="00C63746"/>
    <w:rsid w:val="00C67D6D"/>
    <w:rsid w:val="00C76D78"/>
    <w:rsid w:val="00CA49BE"/>
    <w:rsid w:val="00CA5B0D"/>
    <w:rsid w:val="00CB5079"/>
    <w:rsid w:val="00CD3BD6"/>
    <w:rsid w:val="00CD76BB"/>
    <w:rsid w:val="00CF0C3E"/>
    <w:rsid w:val="00D02BE2"/>
    <w:rsid w:val="00D14345"/>
    <w:rsid w:val="00D269B6"/>
    <w:rsid w:val="00D30583"/>
    <w:rsid w:val="00D46B9C"/>
    <w:rsid w:val="00D5205A"/>
    <w:rsid w:val="00DA13C0"/>
    <w:rsid w:val="00DA4F61"/>
    <w:rsid w:val="00DB4CB8"/>
    <w:rsid w:val="00DD0305"/>
    <w:rsid w:val="00DD3AB0"/>
    <w:rsid w:val="00DE27E9"/>
    <w:rsid w:val="00DE3C7B"/>
    <w:rsid w:val="00DE60BA"/>
    <w:rsid w:val="00DE7EC4"/>
    <w:rsid w:val="00DF3F1F"/>
    <w:rsid w:val="00E055BD"/>
    <w:rsid w:val="00E7042D"/>
    <w:rsid w:val="00E7565B"/>
    <w:rsid w:val="00E80F66"/>
    <w:rsid w:val="00E8227F"/>
    <w:rsid w:val="00E85CFA"/>
    <w:rsid w:val="00E97DE7"/>
    <w:rsid w:val="00EA3618"/>
    <w:rsid w:val="00ED36E8"/>
    <w:rsid w:val="00EF2DD2"/>
    <w:rsid w:val="00F109EA"/>
    <w:rsid w:val="00F176BE"/>
    <w:rsid w:val="00F32A27"/>
    <w:rsid w:val="00F364C7"/>
    <w:rsid w:val="00F676B4"/>
    <w:rsid w:val="00F70BB7"/>
    <w:rsid w:val="00F75D7D"/>
    <w:rsid w:val="00F87E89"/>
    <w:rsid w:val="00F92E56"/>
    <w:rsid w:val="00F93EEE"/>
    <w:rsid w:val="00FB0991"/>
    <w:rsid w:val="00FC6994"/>
    <w:rsid w:val="00FE4A5B"/>
    <w:rsid w:val="00FE4F84"/>
    <w:rsid w:val="00FF3E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897E7"/>
  <w15:chartTrackingRefBased/>
  <w15:docId w15:val="{EA74A521-21EA-4AFC-A24C-FD99D4166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16F"/>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autoRedefine/>
    <w:uiPriority w:val="9"/>
    <w:unhideWhenUsed/>
    <w:qFormat/>
    <w:rsid w:val="0092516F"/>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E80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16F"/>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92516F"/>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rsid w:val="00E80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F66"/>
    <w:rPr>
      <w:rFonts w:eastAsiaTheme="majorEastAsia" w:cstheme="majorBidi"/>
      <w:color w:val="272727" w:themeColor="text1" w:themeTint="D8"/>
    </w:rPr>
  </w:style>
  <w:style w:type="paragraph" w:styleId="Title">
    <w:name w:val="Title"/>
    <w:basedOn w:val="Normal"/>
    <w:next w:val="Normal"/>
    <w:link w:val="TitleChar"/>
    <w:uiPriority w:val="10"/>
    <w:qFormat/>
    <w:rsid w:val="00E80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F66"/>
    <w:pPr>
      <w:spacing w:before="160"/>
      <w:jc w:val="center"/>
    </w:pPr>
    <w:rPr>
      <w:i/>
      <w:iCs/>
      <w:color w:val="404040" w:themeColor="text1" w:themeTint="BF"/>
    </w:rPr>
  </w:style>
  <w:style w:type="character" w:customStyle="1" w:styleId="QuoteChar">
    <w:name w:val="Quote Char"/>
    <w:basedOn w:val="DefaultParagraphFont"/>
    <w:link w:val="Quote"/>
    <w:uiPriority w:val="29"/>
    <w:rsid w:val="00E80F66"/>
    <w:rPr>
      <w:i/>
      <w:iCs/>
      <w:color w:val="404040" w:themeColor="text1" w:themeTint="BF"/>
    </w:rPr>
  </w:style>
  <w:style w:type="paragraph" w:styleId="ListParagraph">
    <w:name w:val="List Paragraph"/>
    <w:basedOn w:val="Normal"/>
    <w:uiPriority w:val="34"/>
    <w:qFormat/>
    <w:rsid w:val="00E80F66"/>
    <w:pPr>
      <w:ind w:left="720"/>
      <w:contextualSpacing/>
    </w:pPr>
  </w:style>
  <w:style w:type="character" w:styleId="IntenseEmphasis">
    <w:name w:val="Intense Emphasis"/>
    <w:basedOn w:val="DefaultParagraphFont"/>
    <w:uiPriority w:val="21"/>
    <w:qFormat/>
    <w:rsid w:val="00E80F66"/>
    <w:rPr>
      <w:i/>
      <w:iCs/>
      <w:color w:val="0F4761" w:themeColor="accent1" w:themeShade="BF"/>
    </w:rPr>
  </w:style>
  <w:style w:type="paragraph" w:styleId="IntenseQuote">
    <w:name w:val="Intense Quote"/>
    <w:basedOn w:val="Normal"/>
    <w:next w:val="Normal"/>
    <w:link w:val="IntenseQuoteChar"/>
    <w:uiPriority w:val="30"/>
    <w:qFormat/>
    <w:rsid w:val="00E80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F66"/>
    <w:rPr>
      <w:i/>
      <w:iCs/>
      <w:color w:val="0F4761" w:themeColor="accent1" w:themeShade="BF"/>
    </w:rPr>
  </w:style>
  <w:style w:type="character" w:styleId="IntenseReference">
    <w:name w:val="Intense Reference"/>
    <w:basedOn w:val="DefaultParagraphFont"/>
    <w:uiPriority w:val="32"/>
    <w:qFormat/>
    <w:rsid w:val="00E80F66"/>
    <w:rPr>
      <w:b/>
      <w:bCs/>
      <w:smallCaps/>
      <w:color w:val="0F4761" w:themeColor="accent1" w:themeShade="BF"/>
      <w:spacing w:val="5"/>
    </w:rPr>
  </w:style>
  <w:style w:type="character" w:styleId="Hyperlink">
    <w:name w:val="Hyperlink"/>
    <w:basedOn w:val="DefaultParagraphFont"/>
    <w:uiPriority w:val="99"/>
    <w:unhideWhenUsed/>
    <w:rsid w:val="00B4487C"/>
    <w:rPr>
      <w:color w:val="467886" w:themeColor="hyperlink"/>
      <w:u w:val="single"/>
    </w:rPr>
  </w:style>
  <w:style w:type="character" w:styleId="UnresolvedMention">
    <w:name w:val="Unresolved Mention"/>
    <w:basedOn w:val="DefaultParagraphFont"/>
    <w:uiPriority w:val="99"/>
    <w:semiHidden/>
    <w:unhideWhenUsed/>
    <w:rsid w:val="00B4487C"/>
    <w:rPr>
      <w:color w:val="605E5C"/>
      <w:shd w:val="clear" w:color="auto" w:fill="E1DFDD"/>
    </w:rPr>
  </w:style>
  <w:style w:type="character" w:styleId="FollowedHyperlink">
    <w:name w:val="FollowedHyperlink"/>
    <w:basedOn w:val="DefaultParagraphFont"/>
    <w:uiPriority w:val="99"/>
    <w:semiHidden/>
    <w:unhideWhenUsed/>
    <w:rsid w:val="00B34A31"/>
    <w:rPr>
      <w:color w:val="96607D" w:themeColor="followedHyperlink"/>
      <w:u w:val="single"/>
    </w:rPr>
  </w:style>
  <w:style w:type="character" w:styleId="FootnoteReference">
    <w:name w:val="footnote reference"/>
    <w:uiPriority w:val="99"/>
    <w:unhideWhenUsed/>
    <w:rsid w:val="00DE27E9"/>
    <w:rPr>
      <w:vertAlign w:val="superscript"/>
    </w:rPr>
  </w:style>
  <w:style w:type="paragraph" w:styleId="FootnoteText">
    <w:name w:val="footnote text"/>
    <w:basedOn w:val="Normal"/>
    <w:link w:val="FootnoteTextChar"/>
    <w:uiPriority w:val="99"/>
    <w:semiHidden/>
    <w:unhideWhenUsed/>
    <w:rsid w:val="00DE27E9"/>
    <w:pPr>
      <w:spacing w:after="0" w:line="240" w:lineRule="auto"/>
    </w:pPr>
    <w:rPr>
      <w:rFonts w:ascii="Palatino Linotype" w:hAnsi="Palatino Linotype"/>
      <w:sz w:val="20"/>
      <w:szCs w:val="20"/>
    </w:rPr>
  </w:style>
  <w:style w:type="character" w:customStyle="1" w:styleId="FootnoteTextChar">
    <w:name w:val="Footnote Text Char"/>
    <w:basedOn w:val="DefaultParagraphFont"/>
    <w:link w:val="FootnoteText"/>
    <w:uiPriority w:val="99"/>
    <w:semiHidden/>
    <w:rsid w:val="00DE27E9"/>
    <w:rPr>
      <w:rFonts w:ascii="Palatino Linotype" w:hAnsi="Palatino Linotype"/>
      <w:sz w:val="20"/>
      <w:szCs w:val="20"/>
    </w:rPr>
  </w:style>
  <w:style w:type="character" w:styleId="EndnoteReference">
    <w:name w:val="endnote reference"/>
    <w:basedOn w:val="DefaultParagraphFont"/>
    <w:uiPriority w:val="99"/>
    <w:semiHidden/>
    <w:unhideWhenUsed/>
    <w:rsid w:val="00322EC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legal-content/EN/TXT/?uri=CELEX:52013SC0343" TargetMode="External"/><Relationship Id="rId13" Type="http://schemas.openxmlformats.org/officeDocument/2006/relationships/hyperlink" Target="https://eur-lex.europa.eu/legal-content/EN/TXT/?uri=CELEX:52021PC0555"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ur-lex.europa.eu/legal-content/EN/TXT/?uri=CELEX:52012DC0501" TargetMode="External"/><Relationship Id="rId17" Type="http://schemas.openxmlformats.org/officeDocument/2006/relationships/hyperlink" Target="https://eur-lex.europa.eu/legal-content/EN/TXT/?uri=CELEX:52021PC0568" TargetMode="External"/><Relationship Id="rId2" Type="http://schemas.openxmlformats.org/officeDocument/2006/relationships/numbering" Target="numbering.xml"/><Relationship Id="rId16" Type="http://schemas.openxmlformats.org/officeDocument/2006/relationships/hyperlink" Target="https://eur-lex.europa.eu/legal-content/EN/TXT/?uri=CELEX:52020DC066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ur-lex.europa.eu/legal-content/EN/TXT/?uri=CELEX:52017DC0713" TargetMode="External"/><Relationship Id="rId5" Type="http://schemas.openxmlformats.org/officeDocument/2006/relationships/webSettings" Target="webSettings.xml"/><Relationship Id="rId15" Type="http://schemas.openxmlformats.org/officeDocument/2006/relationships/hyperlink" Target="https://eur-lex.europa.eu/legal-content/EN/TXT/?uri=CELEX:52020PC0798" TargetMode="External"/><Relationship Id="rId10" Type="http://schemas.openxmlformats.org/officeDocument/2006/relationships/hyperlink" Target="https://eur-lex.europa.eu/legal-content/EN/TXT/?uri=CELEX:52007PC0844"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ur-lex.europa.eu/legal-content/EN/TXT/?uri=CELEX:52011DC0531" TargetMode="External"/><Relationship Id="rId14" Type="http://schemas.openxmlformats.org/officeDocument/2006/relationships/hyperlink" Target="https://eur-lex.europa.eu/legal-content/EN/TXT/?uri=CELEX:52023PC04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C09B5-C628-4167-AF2E-9C3F2A7E849A}">
  <ds:schemaRefs>
    <ds:schemaRef ds:uri="http://schemas.openxmlformats.org/officeDocument/2006/bibliography"/>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20538</Words>
  <Characters>117889</Characters>
  <Application>Microsoft Office Word</Application>
  <DocSecurity>0</DocSecurity>
  <Lines>1759</Lines>
  <Paragraphs>260</Paragraphs>
  <ScaleCrop>false</ScaleCrop>
  <Company/>
  <LinksUpToDate>false</LinksUpToDate>
  <CharactersWithSpaces>138167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Fergus</dc:creator>
  <cp:keywords/>
  <dc:description/>
  <cp:lastModifiedBy>Fergus Green</cp:lastModifiedBy>
  <cp:revision>240</cp:revision>
  <dcterms:created xsi:type="dcterms:W3CDTF">2026-01-24T12:45:00Z</dcterms:created>
  <dcterms:modified xsi:type="dcterms:W3CDTF">2026-03-16T04:09:00Z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f40106ca-1b82-350a-ae34-d64eae83a682</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4th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http://www.zotero.org/styles/philosophy-and-public-affairs</vt:lpwstr>
  </property>
  <property fmtid="{D5CDD505-2E9C-101B-9397-08002B2CF9AE}" pid="24" name="Mendeley Recent Style Name 9_1">
    <vt:lpwstr>Philosophy &amp; Public Affairs</vt:lpwstr>
  </property>
</Properties>
</file>