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E"/>
          <w:sz w:val="56"/>
        </w:rPr>
        <w:t>Continuous Glucose Monitors</w:t>
      </w:r>
    </w:p>
    <w:p>
      <w:r>
        <w:rPr>
          <w:color w:val="2E74B5"/>
          <w:sz w:val="36"/>
        </w:rPr>
        <w:t>Scenario Analysis of a New Medicare LCD / NCD</w:t>
      </w:r>
    </w:p>
    <w:p/>
    <w:p>
      <w:r>
        <w:rPr>
          <w:i/>
          <w:color w:val="595959"/>
          <w:sz w:val="26"/>
        </w:rPr>
        <w:t>Probability-Weighted Outcomes, Precedent Analysis &amp; Investment Implications</w:t>
      </w:r>
    </w:p>
    <w:p/>
    <w:p>
      <w:pPr>
        <w:pBdr>
          <w:bottom w:val="single" w:sz="6" w:space="1" w:color="2E74B5"/>
        </w:pBdr>
      </w:pPr>
    </w:p>
    <w:p>
      <w:r>
        <w:rPr>
          <w:b/>
          <w:color w:val="1F335E"/>
          <w:sz w:val="21"/>
        </w:rPr>
        <w:t xml:space="preserve">Prepared for: </w:t>
      </w:r>
      <w:r>
        <w:rPr>
          <w:sz w:val="21"/>
        </w:rPr>
        <w:t>Investment Diligence — Internal</w:t>
        <w:br/>
      </w:r>
      <w:r>
        <w:rPr>
          <w:b/>
          <w:color w:val="1F335E"/>
          <w:sz w:val="21"/>
        </w:rPr>
        <w:t xml:space="preserve">Date: </w:t>
      </w:r>
      <w:r>
        <w:rPr>
          <w:sz w:val="21"/>
        </w:rPr>
        <w:t>June 10, 2026</w:t>
        <w:br/>
      </w:r>
      <w:r>
        <w:rPr>
          <w:b/>
          <w:color w:val="1F335E"/>
          <w:sz w:val="21"/>
        </w:rPr>
        <w:t xml:space="preserve">Classification: </w:t>
      </w:r>
      <w:r>
        <w:rPr>
          <w:sz w:val="21"/>
        </w:rPr>
        <w:t>Confidential — Draft for Discussion</w:t>
        <w:br/>
      </w:r>
      <w:r>
        <w:rPr>
          <w:b/>
          <w:color w:val="1F335E"/>
          <w:sz w:val="21"/>
        </w:rPr>
        <w:t xml:space="preserve">Horizon: </w:t>
      </w:r>
      <w:r>
        <w:rPr>
          <w:sz w:val="21"/>
        </w:rPr>
        <w:t>Coverage &amp; payment events through YE2028</w:t>
        <w:br/>
      </w:r>
    </w:p>
    <w:p>
      <w:pPr>
        <w:pBdr>
          <w:bottom w:val="single" w:sz="6" w:space="1" w:color="2E74B5"/>
        </w:pBdr>
      </w:pPr>
    </w:p>
    <w:p>
      <w:r>
        <w:rPr>
          <w:b/>
          <w:color w:val="595959"/>
          <w:sz w:val="18"/>
        </w:rPr>
        <w:t xml:space="preserve">Methodology note: </w:t>
      </w:r>
      <w:r>
        <w:rPr>
          <w:i/>
          <w:color w:val="595959"/>
          <w:sz w:val="18"/>
        </w:rPr>
        <w:t>Synthesized from a five-stream evidence sweep (CMS coverage database, Federal Register, OIG/GAO, peer-reviewed clinical literature, manufacturer SEC filings and earnings calls, and health-policy trade press) with adversarial verification of load-bearing claims. Probabilities are analyst judgments anchored to base rates from analogous Medicare coverage decisions; they are estimates, not forecasts, and should be stress-tested through the primary diligence plan in Section 9.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1. Executive Summary</w:t>
      </w:r>
    </w:p>
    <w:p>
      <w:pPr>
        <w:spacing w:after="120"/>
      </w:pPr>
      <w:r>
        <w:rPr>
          <w:b w:val="0"/>
          <w:i w:val="0"/>
        </w:rPr>
        <w:t xml:space="preserve">The central finding of this analysis is that CGM Medicare policy is moving on </w:t>
      </w:r>
      <w:r>
        <w:rPr>
          <w:b/>
          <w:i w:val="0"/>
        </w:rPr>
        <w:t>two opposing tracks at once</w:t>
      </w:r>
      <w:r>
        <w:rPr>
          <w:b w:val="0"/>
          <w:i w:val="0"/>
        </w:rPr>
        <w:t>, and conflating them is the most common analytical error in the market: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032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Track A — Eligibility (Coverage)</w:t>
            </w:r>
          </w:p>
        </w:tc>
        <w:tc>
          <w:tcPr>
            <w:tcW w:type="dxa" w:w="4032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Track B — Payment (Price)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Direction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2E7D32"/>
                <w:sz w:val="18"/>
              </w:rPr>
              <w:t>Expansionary ▲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C0392B"/>
                <w:sz w:val="18"/>
              </w:rPr>
              <w:t>Restrictive ▼</w:t>
            </w:r>
          </w:p>
        </w:tc>
      </w:tr>
      <w:tr>
        <w:tc>
          <w:tcPr>
            <w:tcW w:type="dxa" w:w="1872"/>
            <w:shd w:val="clear" w:color="auto" w:fill="EEF2F8"/>
          </w:tcPr>
          <w:p>
            <w:r/>
            <w:r>
              <w:rPr>
                <w:sz w:val="18"/>
              </w:rPr>
              <w:t>Instrument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DME MAC LCD L33822 revision (or NCD)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DMEPOS Competitive Bidding + monthly rental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Status (Jun 2026)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Anticipated, not yet proposed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FINALIZED Nov 28, 2025 — now law</w:t>
            </w:r>
          </w:p>
        </w:tc>
      </w:tr>
      <w:tr>
        <w:tc>
          <w:tcPr>
            <w:tcW w:type="dxa" w:w="1872"/>
            <w:shd w:val="clear" w:color="auto" w:fill="EEF2F8"/>
          </w:tcPr>
          <w:p>
            <w:r/>
            <w:r>
              <w:rPr>
                <w:sz w:val="18"/>
              </w:rPr>
              <w:t>Key event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Draft LCD for non-insulin T2D, expected H2 2026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Contracts effective ≤ Jan 1, 2028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Volume effect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Adds up to ~12M eligible lives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Neutral to volume</w:t>
            </w:r>
          </w:p>
        </w:tc>
      </w:tr>
      <w:tr>
        <w:tc>
          <w:tcPr>
            <w:tcW w:type="dxa" w:w="1872"/>
            <w:shd w:val="clear" w:color="auto" w:fill="EEF2F8"/>
          </w:tcPr>
          <w:p>
            <w:r/>
            <w:r>
              <w:rPr>
                <w:sz w:val="18"/>
              </w:rPr>
              <w:t>Price effect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Neutral to price</w:t>
            </w:r>
          </w:p>
        </w:tc>
        <w:tc>
          <w:tcPr>
            <w:tcW w:type="dxa" w:w="4032"/>
            <w:shd w:val="clear" w:color="auto" w:fill="EEF2F8"/>
          </w:tcPr>
          <w:p>
            <w:r/>
            <w:r>
              <w:rPr>
                <w:sz w:val="18"/>
              </w:rPr>
              <w:t>Cuts unit reimbursement ~15–40%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 xml:space="preserve">Investors fixated on the expansion story (TAM unlock to non-insulin Type 2 diabetes) are under-weighting the </w:t>
      </w:r>
      <w:r>
        <w:rPr>
          <w:b/>
          <w:i w:val="0"/>
        </w:rPr>
        <w:t>already-finalized payment restructuring</w:t>
      </w:r>
      <w:r>
        <w:rPr>
          <w:b w:val="0"/>
          <w:i w:val="0"/>
        </w:rPr>
        <w:t xml:space="preserve">, which is the single highest-confidence event in this analysis. Conversely, the expansion itself is probable but </w:t>
      </w:r>
      <w:r>
        <w:rPr>
          <w:b/>
          <w:i w:val="0"/>
        </w:rPr>
        <w:t>not yet a filed proposal</w:t>
      </w:r>
      <w:r>
        <w:rPr>
          <w:b w:val="0"/>
          <w:i w:val="0"/>
        </w:rPr>
        <w:t xml:space="preserve"> and carries real timing and scope risk.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1.1 Headline Conclusions</w:t>
      </w:r>
    </w:p>
    <w:p>
      <w:pPr>
        <w:pStyle w:val="ListNumber"/>
        <w:spacing w:after="60"/>
      </w:pPr>
      <w:r>
        <w:rPr>
          <w:b/>
        </w:rPr>
        <w:t xml:space="preserve">Instrument: </w:t>
      </w:r>
      <w:r>
        <w:t>the next material coverage instrument is overwhelmingly likely to be a DME MAC LCD revision, not an NCD. Every CGM coverage change since 2017 (the 2017 Ruling, the 2021 fingerstick removal, the 2023 expansion) has travelled through sub-NCD instruments. NCDs are rare (~4/year program-wide) and the coverage staff is down 22% since December 2024.</w:t>
      </w:r>
    </w:p>
    <w:p>
      <w:pPr>
        <w:pStyle w:val="ListNumber"/>
        <w:spacing w:after="60"/>
      </w:pPr>
      <w:r>
        <w:rPr>
          <w:b/>
        </w:rPr>
        <w:t xml:space="preserve">Coverage: </w:t>
      </w:r>
      <w:r>
        <w:t>an LCD expansion of eligibility to non-insulin Type 2 diabetes is the modal outcome, most likely in a conditioned/structured form (A1c threshold, hypoglycemia-risk medications, or time-limited/professional CGM) rather than blanket coverage. We weight some form of expansion at ~55% within the horizon.</w:t>
      </w:r>
    </w:p>
    <w:p>
      <w:pPr>
        <w:pStyle w:val="ListNumber"/>
        <w:spacing w:after="60"/>
      </w:pPr>
      <w:r>
        <w:rPr>
          <w:b/>
        </w:rPr>
        <w:t xml:space="preserve">Payment: </w:t>
      </w:r>
      <w:r>
        <w:t>a payment cut is effectively certain. Competitive bidding + reclassification to monthly rental was finalized in November 2025; the only live question is magnitude and whether Congress (DIABETES Act, S.4037) delays it. This compresses per-patient economics regardless of the coverage outcome.</w:t>
      </w:r>
    </w:p>
    <w:p>
      <w:pPr>
        <w:pStyle w:val="ListNumber"/>
        <w:spacing w:after="60"/>
      </w:pPr>
      <w:r>
        <w:rPr>
          <w:b/>
        </w:rPr>
        <w:t xml:space="preserve">Net: </w:t>
      </w:r>
      <w:r>
        <w:t>the bull case is a CPAP-style volume boom (lower qualification barrier → decade of growth); the bear case is a power-mobility-style attrition (documentation audits + prior authorization + competitive bidding cutting category spend 70–80% over a decade). Both precedents are real and CGM sits between them.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1.2 Probability-Weighted Scenario Set (coverage-instrument outcome, ~24–36 month horizon)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008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3744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Net effect on manufacturers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Conditioned LCD expansion to non-insulin T2D (A1c / hypo-med / structured)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1F335E"/>
                <w:sz w:val="18"/>
              </w:rPr>
              <w:t>35%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2E7D32"/>
                <w:sz w:val="18"/>
              </w:rPr>
              <w:t>Positive — volume up, price down</w:t>
            </w:r>
          </w:p>
        </w:tc>
      </w:tr>
      <w:tr>
        <w:tc>
          <w:tcPr>
            <w:tcW w:type="dxa" w:w="576"/>
            <w:shd w:val="clear" w:color="auto" w:fill="EEF2F8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5760"/>
            <w:shd w:val="clear" w:color="auto" w:fill="EEF2F8"/>
          </w:tcPr>
          <w:p>
            <w:r/>
            <w:r>
              <w:rPr>
                <w:sz w:val="18"/>
              </w:rPr>
              <w:t>Broad LCD expansion to all non-insulin T2D</w:t>
            </w:r>
          </w:p>
        </w:tc>
        <w:tc>
          <w:tcPr>
            <w:tcW w:type="dxa" w:w="1008"/>
            <w:shd w:val="clear" w:color="auto" w:fill="EEF2F8"/>
          </w:tcPr>
          <w:p>
            <w:r/>
            <w:r>
              <w:rPr>
                <w:b/>
                <w:color w:val="1F335E"/>
                <w:sz w:val="18"/>
              </w:rPr>
              <w:t>20%</w:t>
            </w:r>
          </w:p>
        </w:tc>
        <w:tc>
          <w:tcPr>
            <w:tcW w:type="dxa" w:w="3744"/>
            <w:shd w:val="clear" w:color="auto" w:fill="EEF2F8"/>
          </w:tcPr>
          <w:p>
            <w:r/>
            <w:r>
              <w:rPr>
                <w:b/>
                <w:color w:val="2E7D32"/>
                <w:sz w:val="18"/>
              </w:rPr>
              <w:t>Strongly positive on volume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Status quo persists through horizon (expansion slips past 2027)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1F335E"/>
                <w:sz w:val="18"/>
              </w:rPr>
              <w:t>25%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B8860B"/>
                <w:sz w:val="18"/>
              </w:rPr>
              <w:t>Neutral; price still cut</w:t>
            </w:r>
          </w:p>
        </w:tc>
      </w:tr>
      <w:tr>
        <w:tc>
          <w:tcPr>
            <w:tcW w:type="dxa" w:w="576"/>
            <w:shd w:val="clear" w:color="auto" w:fill="EEF2F8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5760"/>
            <w:shd w:val="clear" w:color="auto" w:fill="EEF2F8"/>
          </w:tcPr>
          <w:p>
            <w:r/>
            <w:r>
              <w:rPr>
                <w:sz w:val="18"/>
              </w:rPr>
              <w:t>Restriction-led: bidding bites + documentation/PA tightening, no expansion</w:t>
            </w:r>
          </w:p>
        </w:tc>
        <w:tc>
          <w:tcPr>
            <w:tcW w:type="dxa" w:w="1008"/>
            <w:shd w:val="clear" w:color="auto" w:fill="EEF2F8"/>
          </w:tcPr>
          <w:p>
            <w:r/>
            <w:r>
              <w:rPr>
                <w:b/>
                <w:color w:val="1F335E"/>
                <w:sz w:val="18"/>
              </w:rPr>
              <w:t>15%</w:t>
            </w:r>
          </w:p>
        </w:tc>
        <w:tc>
          <w:tcPr>
            <w:tcW w:type="dxa" w:w="3744"/>
            <w:shd w:val="clear" w:color="auto" w:fill="EEF2F8"/>
          </w:tcPr>
          <w:p>
            <w:r/>
            <w:r>
              <w:rPr>
                <w:b/>
                <w:color w:val="C0392B"/>
                <w:sz w:val="18"/>
              </w:rPr>
              <w:t>Negative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NCD / CED tail (national action; restrictive trapdoor possible)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1F335E"/>
                <w:sz w:val="18"/>
              </w:rPr>
              <w:t>5%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C0392B"/>
                <w:sz w:val="18"/>
              </w:rPr>
              <w:t>Binary — large up or down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19"/>
        </w:rPr>
        <w:t>Expansion of some kind (S1+S2) ≈ 55%. A do-no-harm-to-volume outcome (S1+S2+S3) ≈ 80%. Materially adverse coverage actions (S4+restrictive leg of S5) ≈ ~18%. The payment cut (Track B) is treated as a near-certain cross-cutting modifier present in all five scenarios.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2. How We Got Here: The Coverage &amp; Payment History</w:t>
      </w:r>
    </w:p>
    <w:p>
      <w:pPr>
        <w:spacing w:after="120"/>
      </w:pPr>
      <w:r>
        <w:rPr>
          <w:b w:val="0"/>
          <w:i w:val="0"/>
        </w:rPr>
        <w:t>Understanding the precedent trajectory inside CGM itself is the strongest predictor of the next move. The pattern is unambiguous: coverage has expanded through the lightest-weight instruments available, each step lowering the qualification barrier, while payment policy has only now turned restrictive.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4464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17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Significance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Jan 12, 2017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CMS Ruling 1682-R: "therapeutic" (non-adjunctive) CGM classified as DME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Created the Medicare benefit; codes K0554 / K0553</w:t>
            </w:r>
          </w:p>
        </w:tc>
      </w:tr>
      <w:tr>
        <w:tc>
          <w:tcPr>
            <w:tcW w:type="dxa" w:w="1440"/>
            <w:shd w:val="clear" w:color="auto" w:fill="EEF2F8"/>
          </w:tcPr>
          <w:p>
            <w:r/>
            <w:r>
              <w:rPr>
                <w:sz w:val="17"/>
              </w:rPr>
              <w:t>Jul 18, 2021</w:t>
            </w:r>
          </w:p>
        </w:tc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LCD L33822 removes ≥4×/day fingerstick prerequisite</w:t>
            </w:r>
          </w:p>
        </w:tc>
        <w:tc>
          <w:tcPr>
            <w:tcW w:type="dxa" w:w="4176"/>
            <w:shd w:val="clear" w:color="auto" w:fill="EEF2F8"/>
          </w:tcPr>
          <w:p>
            <w:r/>
            <w:r>
              <w:rPr>
                <w:sz w:val="17"/>
              </w:rPr>
              <w:t>CMS: no evidence fingerstick frequency predicts CGM benefit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Dec 28, 2021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DMEPOS final rule CMS-1738-F: adjunctive CGMs also DME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Effective Feb 28, 2022; broadens device scope</w:t>
            </w:r>
          </w:p>
        </w:tc>
      </w:tr>
      <w:tr>
        <w:tc>
          <w:tcPr>
            <w:tcW w:type="dxa" w:w="1440"/>
            <w:shd w:val="clear" w:color="auto" w:fill="EEF2F8"/>
          </w:tcPr>
          <w:p>
            <w:r/>
            <w:r>
              <w:rPr>
                <w:sz w:val="17"/>
              </w:rPr>
              <w:t>Jan 1, 2023</w:t>
            </w:r>
          </w:p>
        </w:tc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Code transition: A4239 (supply) / E2103 (receiver) replace K-codes</w:t>
            </w:r>
          </w:p>
        </w:tc>
        <w:tc>
          <w:tcPr>
            <w:tcW w:type="dxa" w:w="4176"/>
            <w:shd w:val="clear" w:color="auto" w:fill="EEF2F8"/>
          </w:tcPr>
          <w:p>
            <w:r/>
            <w:r>
              <w:rPr>
                <w:sz w:val="17"/>
              </w:rPr>
              <w:t>Current billing architecture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Apr 16, 2023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LCD expansion: ANY insulin (basal-only incl.) OR non-insulin w/ problematic hypoglycemia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~1.5M basal-only beneficiaries newly eligible</w:t>
            </w:r>
          </w:p>
        </w:tc>
      </w:tr>
      <w:tr>
        <w:tc>
          <w:tcPr>
            <w:tcW w:type="dxa" w:w="1440"/>
            <w:shd w:val="clear" w:color="auto" w:fill="EEF2F8"/>
          </w:tcPr>
          <w:p>
            <w:r/>
            <w:r>
              <w:rPr>
                <w:sz w:val="17"/>
              </w:rPr>
              <w:t>Nov 2025</w:t>
            </w:r>
          </w:p>
        </w:tc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OIG OEI-04-23-00430: payments 69% above supplier cost ($377M/yr)</w:t>
            </w:r>
          </w:p>
        </w:tc>
        <w:tc>
          <w:tcPr>
            <w:tcW w:type="dxa" w:w="4176"/>
            <w:shd w:val="clear" w:color="auto" w:fill="EEF2F8"/>
          </w:tcPr>
          <w:p>
            <w:r/>
            <w:r>
              <w:rPr>
                <w:sz w:val="17"/>
              </w:rPr>
              <w:t>Program-integrity trigger for payment cut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Nov 28, 2025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FINAL rule: CGMs/pumps → competitive bidding + monthly rental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Contracts effective ≤ Jan 1, 2028; bid limit $272.69/mo</w:t>
            </w:r>
          </w:p>
        </w:tc>
      </w:tr>
      <w:tr>
        <w:tc>
          <w:tcPr>
            <w:tcW w:type="dxa" w:w="1440"/>
            <w:shd w:val="clear" w:color="auto" w:fill="EEF2F8"/>
          </w:tcPr>
          <w:p>
            <w:r/>
            <w:r>
              <w:rPr>
                <w:sz w:val="17"/>
              </w:rPr>
              <w:t>H2 2026 (exp.)</w:t>
            </w:r>
          </w:p>
        </w:tc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Anticipated draft LCD: non-insulin Type 2 diabetes</w:t>
            </w:r>
          </w:p>
        </w:tc>
        <w:tc>
          <w:tcPr>
            <w:tcW w:type="dxa" w:w="4176"/>
            <w:shd w:val="clear" w:color="auto" w:fill="EEF2F8"/>
          </w:tcPr>
          <w:p>
            <w:r/>
            <w:r>
              <w:rPr>
                <w:sz w:val="17"/>
              </w:rPr>
              <w:t>Not yet filed as of Jun 2026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2.1 Current Coverage Criteria (LCD L33822, effective April 16, 2023)</w:t>
      </w:r>
    </w:p>
    <w:p>
      <w:pPr>
        <w:spacing w:after="120"/>
      </w:pPr>
      <w:r>
        <w:rPr>
          <w:b w:val="0"/>
          <w:i w:val="0"/>
        </w:rPr>
        <w:t>CGM is covered when the beneficiary has diabetes, has sufficient training, the device is used per FDA indications, there is a qualifying practitioner visit within 6 months (and every 6 months thereafter), AND at least one of:</w:t>
      </w:r>
    </w:p>
    <w:p>
      <w:pPr>
        <w:pStyle w:val="ListBullet"/>
        <w:spacing w:after="60"/>
      </w:pPr>
      <w:r>
        <w:rPr>
          <w:b/>
        </w:rPr>
        <w:t xml:space="preserve">Pathway A: </w:t>
      </w:r>
      <w:r>
        <w:t>the beneficiary is insulin-treated — with no minimum injection frequency, so basal-only qualifies; OR</w:t>
      </w:r>
    </w:p>
    <w:p>
      <w:pPr>
        <w:pStyle w:val="ListBullet"/>
        <w:spacing w:after="60"/>
      </w:pPr>
      <w:r>
        <w:rPr>
          <w:b/>
        </w:rPr>
        <w:t xml:space="preserve">Pathway B: </w:t>
      </w:r>
      <w:r>
        <w:t>the beneficiary has a history of problematic hypoglycemia — documented as recurrent (&gt;1) Level 2 events (&lt;54 mg/dL) despite ≥2 treatment adjustments, OR one Level 3 event (&lt;54 mg/dL) requiring third-party assistance.</w:t>
      </w:r>
    </w:p>
    <w:p>
      <w:pPr>
        <w:spacing w:after="120"/>
      </w:pPr>
      <w:r>
        <w:rPr>
          <w:b w:val="0"/>
          <w:i/>
        </w:rPr>
        <w:t>The clear gap, and the target of the next expansion, is the non-insulin Type 2 patient who does NOT have documented problematic hypoglycemia — the ~12M-life population manufacturers are pursuing.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2.2 The Payment Restructuring (finalized November 28, 2025)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CGMs and insulin pumps reclassified to the "frequent and substantial servicing" category, paid as a bundled monthly rental (device + all supplies) rather than purchase-receiver + monthly supply allowance.</w:t>
      </w:r>
    </w:p>
    <w:p>
      <w:pPr>
        <w:pStyle w:val="ListBullet"/>
        <w:spacing w:after="60"/>
      </w:pPr>
      <w:r>
        <w:rPr>
          <w:b/>
        </w:rPr>
        <w:t xml:space="preserve">Competition: </w:t>
      </w:r>
      <w:r>
        <w:t>Class II CGMs enter the next Competitive Bidding round via a national "Remote Item Delivery" model; ~10 national contract suppliers expected.</w:t>
      </w:r>
    </w:p>
    <w:p>
      <w:pPr>
        <w:pStyle w:val="ListBullet"/>
        <w:spacing w:after="60"/>
      </w:pPr>
      <w:r>
        <w:rPr>
          <w:b/>
        </w:rPr>
        <w:t xml:space="preserve">Price: </w:t>
      </w:r>
      <w:r>
        <w:t>Monthly bid limit $272.69 (2025 fees: A4239 $267.92 + E2103 $286.03 ÷ 60), indexed forward. Single payment amounts are set by competitive bids, historically 15–45% below fee schedule across DMEPOS.</w:t>
      </w:r>
    </w:p>
    <w:p>
      <w:pPr>
        <w:pStyle w:val="ListBullet"/>
        <w:spacing w:after="60"/>
      </w:pPr>
      <w:r>
        <w:rPr>
          <w:b/>
        </w:rPr>
        <w:t xml:space="preserve">Timeline: </w:t>
      </w:r>
      <w:r>
        <w:t>Bid window late summer/fall 2026 → SPAs late 2027 → contracts effective no later than Jan 1, 2028; 6-month beneficiary transition.</w:t>
      </w:r>
    </w:p>
    <w:p>
      <w:pPr>
        <w:pStyle w:val="ListBullet"/>
        <w:spacing w:after="60"/>
      </w:pPr>
      <w:r>
        <w:rPr>
          <w:b/>
        </w:rPr>
        <w:t xml:space="preserve">Mechanics: </w:t>
      </w:r>
      <w:r>
        <w:t>Up to 3 months of rental billable in advance; the 5-year replacement rule is eliminated.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3. Market Context: What Is at Stake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3.1 Medicare CGM Spend &amp; Utilization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64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Source / note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Medicare Part B CGM spend, 2018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$109M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OIG OEI-04-23-00430 (Nov 2025)</w:t>
            </w:r>
          </w:p>
        </w:tc>
      </w:tr>
      <w:tr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Medicare Part B CGM spend, 2023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$1.3B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≈12× growth in 5 years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OIG overpayment vs. supplier acquisition cost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$377M (69%) / yr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Jul 2022–Jun 2023 window</w:t>
            </w:r>
          </w:p>
        </w:tc>
      </w:tr>
      <w:tr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Glucose-monitor improper payment rate (2024)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25.2% ($278.5M)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CMS FFS supplemental data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Medicare beneficiaries on CGM (approx.)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~2M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Supplier estimate — low confidence</w:t>
            </w:r>
          </w:p>
        </w:tc>
      </w:tr>
      <w:tr>
        <w:tc>
          <w:tcPr>
            <w:tcW w:type="dxa" w:w="4464"/>
            <w:shd w:val="clear" w:color="auto" w:fill="EEF2F8"/>
          </w:tcPr>
          <w:p>
            <w:r/>
            <w:r>
              <w:rPr>
                <w:sz w:val="17"/>
              </w:rPr>
              <w:t>CGM use among MA Type 2 insulin users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1.4% (Jan-21) → 17.2% (2023)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JMCP 2026 — adoption inflected post-2023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A4239 monthly supply allowance (2025)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$267.92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CMS; ~$273 for 2026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3.2 Eligible Populations (the TAM ladder)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Population segment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Approx. size (US)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Medicare coverage status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Type 1 + intensive insulin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Covered base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Covered since 2017</w:t>
            </w:r>
          </w:p>
        </w:tc>
      </w:tr>
      <w:tr>
        <w:tc>
          <w:tcPr>
            <w:tcW w:type="dxa" w:w="4608"/>
            <w:shd w:val="clear" w:color="auto" w:fill="EEF2F8"/>
          </w:tcPr>
          <w:p>
            <w:r/>
            <w:r>
              <w:rPr>
                <w:sz w:val="17"/>
              </w:rPr>
              <w:t>Basal-only insulin (Type 2)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~1.5M Medicare added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Covered since Apr 2023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Non-insulin T2D w/ problematic hypoglycemia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Subset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Covered since Apr 2023</w:t>
            </w:r>
          </w:p>
        </w:tc>
      </w:tr>
      <w:tr>
        <w:tc>
          <w:tcPr>
            <w:tcW w:type="dxa" w:w="4608"/>
            <w:shd w:val="clear" w:color="auto" w:fill="EEF2F8"/>
          </w:tcPr>
          <w:p>
            <w:r/>
            <w:r>
              <w:rPr>
                <w:sz w:val="17"/>
              </w:rPr>
              <w:t>Non-insulin Type 2 (no hypoglycemia)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~25M US; ~half Medicare-age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NOT covered — the expansion target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Prediabetes / wellness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~31M (65+) prediabetes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Not covered; OTC channel only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19"/>
        </w:rPr>
        <w:t>Manufacturer framing: Dexcom publicly sizes the non-insulin Type 2 Medicare opportunity at ~12M lives and frames CMS coverage as "the largest single driver" of full coverage; its May 2026 Investor Day modeled covered lives rising from ~15M to ~30M if expansion proceeds.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3.3 Competitive &amp; Channel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Manufacturer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CGM revenue (latest FY)</w:t>
            </w:r>
          </w:p>
        </w:tc>
        <w:tc>
          <w:tcPr>
            <w:tcW w:type="dxa" w:w="201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Global CGM share (2024)</w:t>
            </w:r>
          </w:p>
        </w:tc>
        <w:tc>
          <w:tcPr>
            <w:tcW w:type="dxa" w:w="3168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Medicare exposure note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Abbott (FreeStyle Libre)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&gt;$7.5B (FY2025)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~57%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Pharmacy-channel strength; OTC Lingo/Libre Rio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r/>
            <w:r>
              <w:rPr>
                <w:sz w:val="17"/>
              </w:rPr>
              <w:t>DexCom (G6/G7/Stelo)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$4.66B (FY2025)</w:t>
            </w:r>
          </w:p>
        </w:tc>
        <w:tc>
          <w:tcPr>
            <w:tcW w:type="dxa" w:w="2016"/>
            <w:shd w:val="clear" w:color="auto" w:fill="EEF2F8"/>
          </w:tcPr>
          <w:p>
            <w:r/>
            <w:r>
              <w:rPr>
                <w:sz w:val="17"/>
              </w:rPr>
              <w:t>~35%</w:t>
            </w:r>
          </w:p>
        </w:tc>
        <w:tc>
          <w:tcPr>
            <w:tcW w:type="dxa" w:w="3168"/>
            <w:shd w:val="clear" w:color="auto" w:fill="EEF2F8"/>
          </w:tcPr>
          <w:p>
            <w:r/>
            <w:r>
              <w:rPr>
                <w:sz w:val="17"/>
              </w:rPr>
              <w:t>Historically overweight in Medicare DME channel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Medtronic (Guardian/Simplera)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$2.76B diabetes (FY25)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~7%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MiniMed spin-off announced May 2025</w:t>
            </w:r>
          </w:p>
        </w:tc>
      </w:tr>
      <w:tr>
        <w:tc>
          <w:tcPr>
            <w:tcW w:type="dxa" w:w="3168"/>
            <w:shd w:val="clear" w:color="auto" w:fill="EEF2F8"/>
          </w:tcPr>
          <w:p>
            <w:r/>
            <w:r>
              <w:rPr>
                <w:sz w:val="17"/>
              </w:rPr>
              <w:t>Senseonics (Eversense 365)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~$35M (FY2025)</w:t>
            </w:r>
          </w:p>
        </w:tc>
        <w:tc>
          <w:tcPr>
            <w:tcW w:type="dxa" w:w="2016"/>
            <w:shd w:val="clear" w:color="auto" w:fill="EEF2F8"/>
          </w:tcPr>
          <w:p>
            <w:r/>
            <w:r>
              <w:rPr>
                <w:sz w:val="17"/>
              </w:rPr>
              <w:t>&lt;1%</w:t>
            </w:r>
          </w:p>
        </w:tc>
        <w:tc>
          <w:tcPr>
            <w:tcW w:type="dxa" w:w="3168"/>
            <w:shd w:val="clear" w:color="auto" w:fill="EEF2F8"/>
          </w:tcPr>
          <w:p>
            <w:r/>
            <w:r>
              <w:rPr>
                <w:sz w:val="17"/>
              </w:rPr>
              <w:t>Implantable; coverage ≠ revenue inflection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Channel: </w:t>
      </w:r>
      <w:r>
        <w:t>Most commercial access runs through the pharmacy benefit; Medicare runs through DME suppliers/distributors. DexCom exited direct Medicare billing in 2020 (distributors: Byram, Cardinal/Edgepark).</w:t>
      </w:r>
    </w:p>
    <w:p>
      <w:pPr>
        <w:pStyle w:val="ListBullet"/>
        <w:spacing w:after="60"/>
      </w:pPr>
      <w:r>
        <w:rPr>
          <w:b/>
        </w:rPr>
        <w:t xml:space="preserve">OTC: </w:t>
      </w:r>
      <w:r>
        <w:t>OTC CGMs (Stelo ~$89–99/mo; Lingo $89/2-pack; Libre Rio) sit ~60–65% below the Medicare A4239 allowance — a price benchmark OIG explicitly used to argue Medicare overpays. The OTC cash price is now a gravitational anchor pulling reimbursement down.</w:t>
      </w:r>
    </w:p>
    <w:p>
      <w:pPr>
        <w:pStyle w:val="ListBullet"/>
        <w:spacing w:after="60"/>
      </w:pPr>
      <w:r>
        <w:rPr>
          <w:b/>
        </w:rPr>
        <w:t xml:space="preserve">GLP-1: </w:t>
      </w:r>
      <w:r>
        <w:t>GLP-1s appear to be a modest tailwind, not a substitute: Abbott and DexCom both report sustained or higher CGM utilization among GLP-1 users (self-interested but directionally consistent).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4. The Clinical Evidence That Drives the Decision</w:t>
      </w:r>
    </w:p>
    <w:p>
      <w:pPr>
        <w:spacing w:after="120"/>
      </w:pPr>
      <w:r>
        <w:rPr>
          <w:b w:val="0"/>
          <w:i w:val="0"/>
        </w:rPr>
        <w:t>A coverage expansion to non-insulin Type 2 diabetes must clear CMS's "reasonable and necessary" bar. On the evidence as of mid-2026, the case is borderline-and-strengthening for selected/structured populations, but not a slam-dunk for blanket coverage.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4.1 Evidence by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Population</w:t>
            </w:r>
          </w:p>
        </w:tc>
        <w:tc>
          <w:tcPr>
            <w:tcW w:type="dxa" w:w="3744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Key evidence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Effect size</w:t>
            </w:r>
          </w:p>
        </w:tc>
        <w:tc>
          <w:tcPr>
            <w:tcW w:type="dxa" w:w="1440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Strength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Intensive insulin (T1D/T2D)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DIAMOND, GOLD, HypoDE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Large TIR / A1c / hypo benefit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7"/>
              </w:rPr>
              <w:t>Settled (A)</w:t>
            </w:r>
          </w:p>
        </w:tc>
      </w:tr>
      <w:tr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Older adults (T1D)</w:t>
            </w:r>
          </w:p>
        </w:tc>
        <w:tc>
          <w:tcPr>
            <w:tcW w:type="dxa" w:w="3744"/>
            <w:shd w:val="clear" w:color="auto" w:fill="EEF2F8"/>
          </w:tcPr>
          <w:p>
            <w:r/>
            <w:r>
              <w:rPr>
                <w:sz w:val="17"/>
              </w:rPr>
              <w:t>WISDM (JAMA 2020, n=203, ≥60y)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−1.9% time &lt;70 mg/dL</w:t>
            </w:r>
          </w:p>
        </w:tc>
        <w:tc>
          <w:tcPr>
            <w:tcW w:type="dxa" w:w="1440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Strong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Basal insulin T2D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MOBILE (JAMA 2021, n=175)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−0.4% A1c (basis of 2023 expansion)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7"/>
              </w:rPr>
              <w:t>Adequate</w:t>
            </w:r>
          </w:p>
        </w:tc>
      </w:tr>
      <w:tr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Non-insulin T2D</w:t>
            </w:r>
          </w:p>
        </w:tc>
        <w:tc>
          <w:tcPr>
            <w:tcW w:type="dxa" w:w="3744"/>
            <w:shd w:val="clear" w:color="auto" w:fill="EEF2F8"/>
          </w:tcPr>
          <w:p>
            <w:r/>
            <w:r>
              <w:rPr>
                <w:sz w:val="17"/>
              </w:rPr>
              <w:t>CONNECT (Jun 2026, n=283); IMMEDIATE; Wada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7"/>
              </w:rPr>
              <w:t>CONNECT −0.9% A1c; pooled ~−0.3%</w:t>
            </w:r>
          </w:p>
        </w:tc>
        <w:tc>
          <w:tcPr>
            <w:tcW w:type="dxa" w:w="1440"/>
            <w:shd w:val="clear" w:color="auto" w:fill="EEF2F8"/>
          </w:tcPr>
          <w:p>
            <w:r/>
            <w:r>
              <w:rPr>
                <w:b/>
                <w:color w:val="B8860B"/>
                <w:sz w:val="17"/>
              </w:rPr>
              <w:t>Contested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Prediabetes / wellness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No supportive RCT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Null / minimal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0392B"/>
                <w:sz w:val="17"/>
              </w:rPr>
              <w:t>Weak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4.2 The Pivotal New Data Point: CONNECT (June 2026)</w:t>
      </w:r>
    </w:p>
    <w:p>
      <w:pPr>
        <w:spacing w:after="120"/>
      </w:pPr>
      <w:r>
        <w:rPr>
          <w:b w:val="0"/>
          <w:i w:val="0"/>
        </w:rPr>
        <w:t xml:space="preserve">Dexcom's CONNECT RCT (n=283 non-insulin Type 2 adults, 22 US primary-care sites, G7 vs. routine care, 26 weeks) reported a </w:t>
      </w:r>
      <w:r>
        <w:rPr>
          <w:b/>
          <w:i w:val="0"/>
        </w:rPr>
        <w:t>~0.9-point greater A1c reduction</w:t>
      </w:r>
      <w:r>
        <w:rPr>
          <w:b w:val="0"/>
          <w:i w:val="0"/>
        </w:rPr>
        <w:t xml:space="preserve"> and ~5 hrs/day more time-in-range, across metformin/GLP-1/SGLT2 combinations. Baseline A1c was 8.8% (31% ≥9%). Marketed as the "first Level A evidence" in non-insulin T2D. </w:t>
      </w:r>
      <w:r>
        <w:rPr>
          <w:b/>
          <w:i w:val="0"/>
        </w:rPr>
        <w:t xml:space="preserve">Caveats: </w:t>
      </w:r>
      <w:r>
        <w:rPr>
          <w:b w:val="0"/>
          <w:i w:val="0"/>
        </w:rPr>
        <w:t>industry-sponsored, open-label, A1c (not hard outcomes), 26 weeks.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4.3 Guideline Posture</w:t>
      </w:r>
    </w:p>
    <w:p>
      <w:pPr>
        <w:pStyle w:val="ListBullet"/>
        <w:spacing w:after="60"/>
      </w:pPr>
      <w:r>
        <w:rPr>
          <w:b/>
        </w:rPr>
        <w:t xml:space="preserve">ADA 2026: </w:t>
      </w:r>
      <w:r>
        <w:t>Grade (B) for CGM in non-insulin T2D on hypoglycemia-causing therapies and where it aids management — but text explicitly cautions benefit is "not consistently" shown outside structured programs.</w:t>
      </w:r>
    </w:p>
    <w:p>
      <w:pPr>
        <w:pStyle w:val="ListBullet"/>
        <w:spacing w:after="60"/>
      </w:pPr>
      <w:r>
        <w:rPr>
          <w:b/>
        </w:rPr>
        <w:t xml:space="preserve">AACE 2021: </w:t>
      </w:r>
      <w:r>
        <w:t>Grade A for intensive insulin; Grade B for less-intensive insulin T2D; did not broadly endorse non-insulin T2D.</w:t>
      </w:r>
    </w:p>
    <w:p>
      <w:pPr>
        <w:pStyle w:val="ListBullet"/>
        <w:spacing w:after="60"/>
      </w:pPr>
      <w:r>
        <w:rPr>
          <w:b/>
        </w:rPr>
        <w:t xml:space="preserve">NICE (UK): </w:t>
      </w:r>
      <w:r>
        <w:t>Restricts CGM/flash to insulin-treated T2D meeting specific criteria — does NOT cover non-insulin T2D. A credible "responsible payer" anchor for skeptics.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4.4 What a Skeptic at a MAC Contractor Advisory Meeting Would Say</w:t>
      </w:r>
    </w:p>
    <w:p>
      <w:pPr>
        <w:pStyle w:val="ListBullet"/>
        <w:spacing w:after="60"/>
      </w:pPr>
      <w:r>
        <w:t>Pooled non-insulin A1c effects are small and shrinking — a 25-RCT behavior-change meta-analysis (Richardson 2024) found only −0.28% with non-significant effects on time-above-range, BMI, and weight.</w:t>
      </w:r>
    </w:p>
    <w:p>
      <w:pPr>
        <w:pStyle w:val="ListBullet"/>
        <w:spacing w:after="60"/>
      </w:pPr>
      <w:r>
        <w:t>Positive trials (CONNECT, IMMEDIATE, Wada) are open-label with education co-interventions — benefit may reflect coaching, not the device.</w:t>
      </w:r>
    </w:p>
    <w:p>
      <w:pPr>
        <w:pStyle w:val="ListBullet"/>
        <w:spacing w:after="60"/>
      </w:pPr>
      <w:r>
        <w:t>Durability is unproven (trials ≤26 weeks; MOBILE shows benefit fades after discontinuation → indefinite cost).</w:t>
      </w:r>
    </w:p>
    <w:p>
      <w:pPr>
        <w:pStyle w:val="ListBullet"/>
        <w:spacing w:after="60"/>
      </w:pPr>
      <w:r>
        <w:t>Hard-outcome (hospitalization) evidence is uncontrolled claims data (Optum, RELIEF) subject to regression to the mean and selection.</w:t>
      </w:r>
    </w:p>
    <w:p>
      <w:pPr>
        <w:pStyle w:val="ListBullet"/>
        <w:spacing w:after="60"/>
      </w:pPr>
      <w:r>
        <w:t>Industry funding pervades the positive signal; NICE and USPSTF decline non-insulin/wellness endorsement.</w:t>
      </w:r>
    </w:p>
    <w:p>
      <w:pPr>
        <w:spacing w:after="120"/>
      </w:pPr>
      <w:r>
        <w:rPr>
          <w:b/>
          <w:i w:val="0"/>
          <w:color w:val="1F335E"/>
        </w:rPr>
        <w:t>Implication: the evidence best supports a CONDITIONED expansion (structured programs, higher baseline A1c, hypoglycemia-risk medications, or time-limited/professional CGM) rather than indefinite personal CGM for every non-insulin patient — which is precisely why S1 outweighs S2.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5. Precedent Analysis: What Analogous Decisions Teach Us</w:t>
      </w:r>
    </w:p>
    <w:p>
      <w:pPr>
        <w:spacing w:after="120"/>
      </w:pPr>
      <w:r>
        <w:rPr>
          <w:b w:val="0"/>
          <w:i w:val="0"/>
        </w:rPr>
        <w:t>No coverage decision happens in a vacuum. The following Medicare precedents bracket the plausible outcomes for CGM and supply concrete base rates for direction, timeline, and market impact.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5.1 Precedent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Precedent</w:t>
            </w:r>
          </w:p>
        </w:tc>
        <w:tc>
          <w:tcPr>
            <w:tcW w:type="dxa" w:w="3456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What happened</w:t>
            </w:r>
          </w:p>
        </w:tc>
        <w:tc>
          <w:tcPr>
            <w:tcW w:type="dxa" w:w="2736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Market impact</w:t>
            </w:r>
          </w:p>
        </w:tc>
        <w:tc>
          <w:tcPr>
            <w:tcW w:type="dxa" w:w="3168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Lesson for CGM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CPAP NCD (2008)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Lowered diagnostic barrier (home sleep test) + 12-wk adherence trial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Decade-plus volume boom; PSG spend +39%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BULL case: barrier-lowering → growth (but invites supply audits)</w:t>
            </w:r>
          </w:p>
        </w:tc>
      </w:tr>
      <w:tr>
        <w:tc>
          <w:tcPr>
            <w:tcW w:type="dxa" w:w="2160"/>
            <w:shd w:val="clear" w:color="auto" w:fill="EEF2F8"/>
          </w:tcPr>
          <w:p>
            <w:r/>
            <w:r>
              <w:rPr>
                <w:sz w:val="16"/>
              </w:rPr>
              <w:t>Power mobility (2006–18)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Documentation + prior auth + competitive bidding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6"/>
              </w:rPr>
              <w:t>Spend collapsed ~$964M→$190M (~80%)</w:t>
            </w:r>
          </w:p>
        </w:tc>
        <w:tc>
          <w:tcPr>
            <w:tcW w:type="dxa" w:w="3168"/>
            <w:shd w:val="clear" w:color="auto" w:fill="EEF2F8"/>
          </w:tcPr>
          <w:p>
            <w:r/>
            <w:r>
              <w:rPr>
                <w:sz w:val="16"/>
              </w:rPr>
              <w:t>BEAR case: attrition without any "non-coverage" 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Test strips (CB 2011–15)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Competitive bidding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Price −79% ($1.6B→$0.3B)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Closest supply analog: bidding can cut CGM unit price hard</w:t>
            </w:r>
          </w:p>
        </w:tc>
      </w:tr>
      <w:tr>
        <w:tc>
          <w:tcPr>
            <w:tcW w:type="dxa" w:w="2160"/>
            <w:shd w:val="clear" w:color="auto" w:fill="EEF2F8"/>
          </w:tcPr>
          <w:p>
            <w:r/>
            <w:r>
              <w:rPr>
                <w:sz w:val="16"/>
              </w:rPr>
              <w:t>TENS for CLBP (2012)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Coverage-with-Evidence-Development; no studies funded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6"/>
              </w:rPr>
              <w:t>De facto national non-coverage</w:t>
            </w:r>
          </w:p>
        </w:tc>
        <w:tc>
          <w:tcPr>
            <w:tcW w:type="dxa" w:w="3168"/>
            <w:shd w:val="clear" w:color="auto" w:fill="EEF2F8"/>
          </w:tcPr>
          <w:p>
            <w:r/>
            <w:r>
              <w:rPr>
                <w:sz w:val="16"/>
              </w:rPr>
              <w:t>CED is a trap door if CMS demands trials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Seat elevation NCD (2023)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Advocacy-driven expansion; final broader than proposed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New benefit; comments moved scope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Advocacy + comment volume move CMS</w:t>
            </w:r>
          </w:p>
        </w:tc>
      </w:tr>
      <w:tr>
        <w:tc>
          <w:tcPr>
            <w:tcW w:type="dxa" w:w="2160"/>
            <w:shd w:val="clear" w:color="auto" w:fill="EEF2F8"/>
          </w:tcPr>
          <w:p>
            <w:r/>
            <w:r>
              <w:rPr>
                <w:sz w:val="16"/>
              </w:rPr>
              <w:t>Insulin pump NCD 280.14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C-peptide gate (1999), minor 2004 loosening</w:t>
            </w:r>
          </w:p>
        </w:tc>
        <w:tc>
          <w:tcPr>
            <w:tcW w:type="dxa" w:w="2736"/>
            <w:shd w:val="clear" w:color="auto" w:fill="EEF2F8"/>
          </w:tcPr>
          <w:p>
            <w:r/>
            <w:r>
              <w:rPr>
                <w:sz w:val="16"/>
              </w:rPr>
              <w:t>Sticky 20+ yrs; constrains AID in Medicare</w:t>
            </w:r>
          </w:p>
        </w:tc>
        <w:tc>
          <w:tcPr>
            <w:tcW w:type="dxa" w:w="3168"/>
            <w:shd w:val="clear" w:color="auto" w:fill="EEF2F8"/>
          </w:tcPr>
          <w:p>
            <w:r/>
            <w:r>
              <w:rPr>
                <w:sz w:val="16"/>
              </w:rPr>
              <w:t>Restrictive criteria in an NCD are very hard to reverse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Eversense I-CGM LCD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MAC parallel coverage; criteria converged to 2023 rules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Doubled eligible pop., little revenue inflection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Coverage ≠ revenue; product economics dominate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5.2 Process Base Rates (the timing reality)</w:t>
      </w:r>
    </w:p>
    <w:p>
      <w:pPr>
        <w:pStyle w:val="ListBullet"/>
        <w:spacing w:after="60"/>
      </w:pPr>
      <w:r>
        <w:rPr>
          <w:b/>
        </w:rPr>
        <w:t xml:space="preserve">NCD clock: </w:t>
      </w:r>
      <w:r>
        <w:t>Statute: proposed decision within 6 months of opening (9 with technology assessment/MEDCAC); final within 60 days of comment close — i.e., ~9–12 months once opened.</w:t>
      </w:r>
    </w:p>
    <w:p>
      <w:pPr>
        <w:pStyle w:val="ListBullet"/>
        <w:spacing w:after="60"/>
      </w:pPr>
      <w:r>
        <w:rPr>
          <w:b/>
        </w:rPr>
        <w:t xml:space="preserve">NCD throughput: </w:t>
      </w:r>
      <w:r>
        <w:t>GAO (Sept 2025): CMS met NCA timeframes 83% of the time (44/53 over 12.5 yrs) — but only ~4 NCAs complete per year, and the coverage group lost 22% of staff since Dec 2024. NCDs are rare and getting slower.</w:t>
      </w:r>
    </w:p>
    <w:p>
      <w:pPr>
        <w:pStyle w:val="ListBullet"/>
        <w:spacing w:after="60"/>
      </w:pPr>
      <w:r>
        <w:rPr>
          <w:b/>
        </w:rPr>
        <w:t xml:space="preserve">LCD clock: </w:t>
      </w:r>
      <w:r>
        <w:t>Post-2019 (21st Century Cures): ≥45-day comment period + open meeting; MAC must finalize or retire a proposed LCD within 365 days. Faster and more flexible than an NCD in both directions.</w:t>
      </w:r>
    </w:p>
    <w:p>
      <w:pPr>
        <w:pStyle w:val="ListBullet"/>
        <w:spacing w:after="60"/>
      </w:pPr>
      <w:r>
        <w:rPr>
          <w:b/>
        </w:rPr>
        <w:t xml:space="preserve">Trend: </w:t>
      </w:r>
      <w:r>
        <w:t>CMS removed 6 NCDs effective Jan 2021 and retired the amyloid-PET NCD in 2023, devolving to MACs — the structural current favors the LCD-governed status quo for CGM.</w:t>
      </w:r>
    </w:p>
    <w:p>
      <w:pPr>
        <w:pStyle w:val="ListBullet"/>
        <w:spacing w:after="60"/>
      </w:pPr>
      <w:r>
        <w:rPr>
          <w:b/>
        </w:rPr>
        <w:t xml:space="preserve">Politics: </w:t>
      </w:r>
      <w:r>
        <w:t>Comment volume and advocacy demonstrably move CMS (seat-elevation final broader than proposed; the 2023 CGM LCD finalized faster and broader than the draft; the 2025 skin-substitute LCDs were finalized then withdrawn under pressure).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5.3 The Two Reference Trajectories</w:t>
      </w:r>
    </w:p>
    <w:p>
      <w:pPr>
        <w:spacing w:after="120"/>
      </w:pPr>
      <w:r>
        <w:rPr>
          <w:b/>
          <w:i w:val="0"/>
          <w:color w:val="2E7D32"/>
        </w:rPr>
        <w:t xml:space="preserve">BULL (CPAP analog): </w:t>
      </w:r>
      <w:r>
        <w:rPr>
          <w:b w:val="0"/>
          <w:i w:val="0"/>
        </w:rPr>
        <w:t>the 2023 CGM LCD already executed the same barrier-lowering move CPAP did in 2008 (dropping the fingerstick/MDI prerequisite). A further drop to non-insulin T2D could replicate a multi-year volume ramp. The catch CPAP also teaches: a volume boom in a resupply item invites the exact OIG/audit scrutiny CGM is now under.</w:t>
      </w:r>
    </w:p>
    <w:p>
      <w:pPr>
        <w:spacing w:after="120"/>
      </w:pPr>
      <w:r>
        <w:rPr>
          <w:b/>
          <w:i w:val="0"/>
          <w:color w:val="C0392B"/>
        </w:rPr>
        <w:t xml:space="preserve">BEAR (power-mobility analog): </w:t>
      </w:r>
      <w:r>
        <w:rPr>
          <w:b w:val="0"/>
          <w:i w:val="0"/>
        </w:rPr>
        <w:t>rapidly growing resupply spend + fraud headlines (the June 2025 DOJ takedown featured CGM telemarketing schemes) + competitive bidding is precisely the cocktail that cut power-wheelchair spend ~80% over a decade — without any formal non-coverage decision. CGM is already three of four steps into this template.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6. The Scenarios in Detail</w:t>
      </w:r>
    </w:p>
    <w:p>
      <w:pPr>
        <w:spacing w:after="120"/>
      </w:pPr>
      <w:r>
        <w:rPr>
          <w:b w:val="0"/>
          <w:i w:val="0"/>
        </w:rPr>
        <w:t>Each scenario below specifies the triggering mechanism, the most probable timeline, the leading indicators to watch, and the revenue/utilization consequence. Probabilities are for the coverage-instrument outcome over a ~24–36 month horizon; the Track B payment cut is assumed present in all.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S1 — Conditioned LCD Expansion to Non-Insulin Type 2 Diabetes  (35% — MODAL)</w:t>
      </w:r>
    </w:p>
    <w:p>
      <w:pPr>
        <w:spacing w:after="60"/>
      </w:pPr>
      <w:r>
        <w:rPr>
          <w:b/>
          <w:i w:val="0"/>
          <w:color w:val="2E7D32"/>
        </w:rPr>
        <w:t xml:space="preserve">Mechanism: </w:t>
      </w:r>
      <w:r>
        <w:rPr>
          <w:b w:val="0"/>
          <w:i w:val="0"/>
        </w:rPr>
        <w:t>DME MACs publish a draft LCD revising L33822 to add non-insulin Type 2 patients, but gated by qualifying conditions — an A1c threshold (e.g., ≥8%), use of hypoglycemia-risk medications (sulfonylureas), enrollment in a structured/DSMES program, or a time-limited/professional CGM allowance. This is the outcome the CONNECT/MOBILE evidence and the hedged ADA-2026 language best support, and it lets CMS expand access while containing budget exposure and answering skeptics.</w:t>
      </w:r>
    </w:p>
    <w:p>
      <w:pPr>
        <w:spacing w:after="60"/>
      </w:pPr>
      <w:r>
        <w:rPr>
          <w:b/>
          <w:i w:val="0"/>
          <w:color w:val="2E7D32"/>
        </w:rPr>
        <w:t xml:space="preserve">Most-likely path &amp; timeline: </w:t>
      </w:r>
      <w:r>
        <w:rPr>
          <w:b w:val="0"/>
          <w:i w:val="0"/>
        </w:rPr>
        <w:t>Draft LCD H2 2026 → ≥45-day comment + open meeting → final mid-2027 → effective ~Q3–Q4 2027. Runs in parallel with competitive-bidding implementation (Jan 2028), so the volume unlock and the price cut land almost simultaneously.</w:t>
      </w:r>
    </w:p>
    <w:p>
      <w:pPr>
        <w:spacing w:after="60"/>
      </w:pPr>
      <w:r>
        <w:rPr>
          <w:b/>
          <w:i w:val="0"/>
          <w:color w:val="2E7D32"/>
        </w:rPr>
        <w:t xml:space="preserve">Revenue / utilization impact: </w:t>
      </w:r>
      <w:r>
        <w:rPr>
          <w:b w:val="0"/>
          <w:i w:val="0"/>
        </w:rPr>
        <w:t>Positive but margin-compressed. Eligible lives rise materially (a structured gate might capture 30–60% of the ~12M, phased in over years as documentation requirements throttle uptake). Per-patient revenue falls on the rental/bidding cut. Net manufacturer revenue still grows, but ASP erosion and documentation friction mean realized uptake lags the headline TAM — the Eversense lesson that coverage ≠ revenue applies.</w:t>
      </w:r>
    </w:p>
    <w:p>
      <w:r>
        <w:rPr>
          <w:b/>
          <w:color w:val="2E7D32"/>
        </w:rPr>
        <w:t xml:space="preserve">Leading indicators: </w:t>
      </w:r>
    </w:p>
    <w:p>
      <w:pPr>
        <w:pStyle w:val="ListBullet"/>
        <w:spacing w:after="60"/>
      </w:pPr>
      <w:r>
        <w:t>Draft LCD DL33822 posted to the Medicare Coverage Database</w:t>
      </w:r>
    </w:p>
    <w:p>
      <w:pPr>
        <w:pStyle w:val="ListBullet"/>
        <w:spacing w:after="60"/>
      </w:pPr>
      <w:r>
        <w:t>DME MAC open-meeting notice referencing glucose monitors / non-insulin criteria</w:t>
      </w:r>
    </w:p>
    <w:p>
      <w:pPr>
        <w:pStyle w:val="ListBullet"/>
        <w:spacing w:after="60"/>
      </w:pPr>
      <w:r>
        <w:t>CONNECT full publication + ADA/AACE guideline upgrade to a clearer (B)/(A)</w:t>
      </w:r>
    </w:p>
    <w:p>
      <w:pPr>
        <w:pStyle w:val="ListBullet"/>
        <w:spacing w:after="60"/>
      </w:pPr>
      <w:r>
        <w:t>Manufacturer earnings-call language shifting from "expect a proposal" to "proposal posted"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S2 — Broad LCD Expansion to All Non-Insulin Type 2 Diabetes  (20%)</w:t>
      </w:r>
    </w:p>
    <w:p>
      <w:pPr>
        <w:spacing w:after="60"/>
      </w:pPr>
      <w:r>
        <w:rPr>
          <w:b/>
          <w:i w:val="0"/>
          <w:color w:val="2E7D32"/>
        </w:rPr>
        <w:t xml:space="preserve">Mechanism: </w:t>
      </w:r>
      <w:r>
        <w:rPr>
          <w:b w:val="0"/>
          <w:i w:val="0"/>
        </w:rPr>
        <w:t>DME MACs expand to non-insulin Type 2 with minimal gating (diagnosis + visit cadence), mirroring how the 2023 final LCD dropped the proposed injection-frequency language and came out broader than the draft. Driven by strong advocacy/comment volume (ADA, Breakthrough T1D, ADCES), MAHA-administration rhetorical enthusiasm for wearables, and manufacturer lobbying.</w:t>
      </w:r>
    </w:p>
    <w:p>
      <w:pPr>
        <w:spacing w:after="60"/>
      </w:pPr>
      <w:r>
        <w:rPr>
          <w:b/>
          <w:i w:val="0"/>
          <w:color w:val="2E7D32"/>
        </w:rPr>
        <w:t xml:space="preserve">Most-likely path &amp; timeline: </w:t>
      </w:r>
      <w:r>
        <w:rPr>
          <w:b w:val="0"/>
          <w:i w:val="0"/>
        </w:rPr>
        <w:t>Draft H2 2026 → final broadened in response to comments → effective 2027. Fastest large-TAM unlock.</w:t>
      </w:r>
    </w:p>
    <w:p>
      <w:pPr>
        <w:spacing w:after="60"/>
      </w:pPr>
      <w:r>
        <w:rPr>
          <w:b/>
          <w:i w:val="0"/>
          <w:color w:val="2E7D32"/>
        </w:rPr>
        <w:t xml:space="preserve">Revenue / utilization impact: </w:t>
      </w:r>
      <w:r>
        <w:rPr>
          <w:b w:val="0"/>
          <w:i w:val="0"/>
        </w:rPr>
        <w:t>Strongly positive on volume — approaches the full ~12M Medicare opportunity over time and de-risks the parallel ~6.5M commercial lives manufacturers cite. Still subject to the Track B price cut, but volume dominates. This is the manufacturers' base case and the market's implicit expectation.</w:t>
      </w:r>
    </w:p>
    <w:p>
      <w:r>
        <w:rPr>
          <w:b/>
          <w:color w:val="2E7D32"/>
        </w:rPr>
        <w:t xml:space="preserve">Leading indicators: </w:t>
      </w:r>
    </w:p>
    <w:p>
      <w:pPr>
        <w:pStyle w:val="ListBullet"/>
        <w:spacing w:after="60"/>
      </w:pPr>
      <w:r>
        <w:t>High comment volume skewing pro-expansion (seat-elevation precedent: ~2,130 comments)</w:t>
      </w:r>
    </w:p>
    <w:p>
      <w:pPr>
        <w:pStyle w:val="ListBullet"/>
        <w:spacing w:after="60"/>
      </w:pPr>
      <w:r>
        <w:t>Explicit MAHA / HHS endorsement of CGM access in rulemaking preambles</w:t>
      </w:r>
    </w:p>
    <w:p>
      <w:pPr>
        <w:pStyle w:val="ListBullet"/>
        <w:spacing w:after="60"/>
      </w:pPr>
      <w:r>
        <w:t>A draft LCD whose criteria lack an A1c or medication gate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S3 — Status Quo Persists — Expansion Slips Past the Horizon  (25%)</w:t>
      </w:r>
    </w:p>
    <w:p>
      <w:pPr>
        <w:spacing w:after="60"/>
      </w:pPr>
      <w:r>
        <w:rPr>
          <w:b/>
          <w:i w:val="0"/>
          <w:color w:val="B8860B"/>
        </w:rPr>
        <w:t xml:space="preserve">Mechanism: </w:t>
      </w:r>
      <w:r>
        <w:rPr>
          <w:b w:val="0"/>
          <w:i w:val="0"/>
        </w:rPr>
        <w:t>No expansion LCD is finalized within the horizon. The draft is delayed, withdrawn, or stuck in comment resolution. Drivers: a 22%-depleted coverage workforce, MAHA fiscal hawkishness colliding with its own pro-wearable rhetoric, an evidence base critics still call thin for blanket coverage, and CMS bandwidth consumed by competitive-bidding implementation.</w:t>
      </w:r>
    </w:p>
    <w:p>
      <w:pPr>
        <w:spacing w:after="60"/>
      </w:pPr>
      <w:r>
        <w:rPr>
          <w:b/>
          <w:i w:val="0"/>
          <w:color w:val="B8860B"/>
        </w:rPr>
        <w:t xml:space="preserve">Most-likely path &amp; timeline: </w:t>
      </w:r>
      <w:r>
        <w:rPr>
          <w:b w:val="0"/>
          <w:i w:val="0"/>
        </w:rPr>
        <w:t>Draft posts but does not finalize by YE2027/early-2028; or no draft posts at all in 2026. Eligibility frozen at the 2023 criteria.</w:t>
      </w:r>
    </w:p>
    <w:p>
      <w:pPr>
        <w:spacing w:after="60"/>
      </w:pPr>
      <w:r>
        <w:rPr>
          <w:b/>
          <w:i w:val="0"/>
          <w:color w:val="B8860B"/>
        </w:rPr>
        <w:t xml:space="preserve">Revenue / utilization impact: </w:t>
      </w:r>
      <w:r>
        <w:rPr>
          <w:b w:val="0"/>
          <w:i w:val="0"/>
        </w:rPr>
        <w:t>Neutral on the expansion thesis — but NOT neutral overall, because the Track B price cut still lands in Jan 2028. Net effect is mild negative to flat: same covered population at a lower unit price. The market would likely re-rate manufacturers down on a "TAM unlock delayed" narrative.</w:t>
      </w:r>
    </w:p>
    <w:p>
      <w:r>
        <w:rPr>
          <w:b/>
          <w:color w:val="B8860B"/>
        </w:rPr>
        <w:t xml:space="preserve">Leading indicators: </w:t>
      </w:r>
    </w:p>
    <w:p>
      <w:pPr>
        <w:pStyle w:val="ListBullet"/>
        <w:spacing w:after="60"/>
      </w:pPr>
      <w:r>
        <w:t>Calendar slips past H2 2026 with no draft LCD</w:t>
      </w:r>
    </w:p>
    <w:p>
      <w:pPr>
        <w:pStyle w:val="ListBullet"/>
        <w:spacing w:after="60"/>
      </w:pPr>
      <w:r>
        <w:t>CMS public statements emphasizing budget neutrality / program integrity over expansion</w:t>
      </w:r>
    </w:p>
    <w:p>
      <w:pPr>
        <w:pStyle w:val="ListBullet"/>
        <w:spacing w:after="60"/>
      </w:pPr>
      <w:r>
        <w:t>Coverage-staff attrition or leadership vacuum at CAG/MAC medical-director level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S4 — Restriction-Led — Bidding Bites and Documentation/Prior-Auth Tightens  (15%)</w:t>
      </w:r>
    </w:p>
    <w:p>
      <w:pPr>
        <w:spacing w:after="60"/>
      </w:pPr>
      <w:r>
        <w:rPr>
          <w:b/>
          <w:i w:val="0"/>
          <w:color w:val="C0392B"/>
        </w:rPr>
        <w:t xml:space="preserve">Mechanism: </w:t>
      </w:r>
      <w:r>
        <w:rPr>
          <w:b w:val="0"/>
          <w:i w:val="0"/>
        </w:rPr>
        <w:t>Beyond the finalized competitive bidding, program-integrity pressure (OIG 69%-overpayment finding, DOJ CGM-fraud takedowns, 25% improper-payment rate) prompts the DME MACs to tighten documentation, add prior authorization to the CGM Required Prior Authorization List, or audit resupply/continued-use compliance — the PAP-supplies and power-mobility playbook. Expansion stalls in parallel.</w:t>
      </w:r>
    </w:p>
    <w:p>
      <w:pPr>
        <w:spacing w:after="60"/>
      </w:pPr>
      <w:r>
        <w:rPr>
          <w:b/>
          <w:i w:val="0"/>
          <w:color w:val="C0392B"/>
        </w:rPr>
        <w:t xml:space="preserve">Most-likely path &amp; timeline: </w:t>
      </w:r>
      <w:r>
        <w:rPr>
          <w:b w:val="0"/>
          <w:i w:val="0"/>
        </w:rPr>
        <w:t>Prior-authorization or enhanced documentation rolled out 2026–2027; competitive-bidding single payment amounts come in at the low end (−30% to −45%); resupply audits expand.</w:t>
      </w:r>
    </w:p>
    <w:p>
      <w:pPr>
        <w:spacing w:after="60"/>
      </w:pPr>
      <w:r>
        <w:rPr>
          <w:b/>
          <w:i w:val="0"/>
          <w:color w:val="C0392B"/>
        </w:rPr>
        <w:t xml:space="preserve">Revenue / utilization impact: </w:t>
      </w:r>
      <w:r>
        <w:rPr>
          <w:b w:val="0"/>
          <w:i w:val="0"/>
        </w:rPr>
        <w:t>Negative. Volume growth throttled by documentation friction and prior auth (power-mobility showed 80% of claims failing requirements once scrutiny arrived); unit price cut hard by bidding. The realistic downside is not "non-coverage" but multi-year category-spend attrition — the highest-conviction bear path.</w:t>
      </w:r>
    </w:p>
    <w:p>
      <w:r>
        <w:rPr>
          <w:b/>
          <w:color w:val="C0392B"/>
        </w:rPr>
        <w:t xml:space="preserve">Leading indicators: </w:t>
      </w:r>
    </w:p>
    <w:p>
      <w:pPr>
        <w:pStyle w:val="ListBullet"/>
        <w:spacing w:after="60"/>
      </w:pPr>
      <w:r>
        <w:t>CGM added to the Required Prior Authorization List or a TPE (Targeted Probe &amp; Educate) wave</w:t>
      </w:r>
    </w:p>
    <w:p>
      <w:pPr>
        <w:pStyle w:val="ListBullet"/>
        <w:spacing w:after="60"/>
      </w:pPr>
      <w:r>
        <w:t>New OIG/GAO work-plan items on CGM resupply or continued-use documentation</w:t>
      </w:r>
    </w:p>
    <w:p>
      <w:pPr>
        <w:pStyle w:val="ListBullet"/>
        <w:spacing w:after="60"/>
      </w:pPr>
      <w:r>
        <w:t>Competitive-bidding SPAs (late 2027) materially below the $272.69 limit</w:t>
      </w:r>
    </w:p>
    <w:p>
      <w:pPr>
        <w:pStyle w:val="ListBullet"/>
        <w:spacing w:after="60"/>
      </w:pPr>
      <w:r>
        <w:t>Supplier consolidation / distributor exits as margins compress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S5 — National Action — NCD / Coverage-with-Evidence-Development Tail  (5%)</w:t>
      </w:r>
    </w:p>
    <w:p>
      <w:pPr>
        <w:spacing w:after="60"/>
      </w:pPr>
      <w:r>
        <w:rPr>
          <w:b/>
          <w:i w:val="0"/>
          <w:color w:val="C0392B"/>
        </w:rPr>
        <w:t xml:space="preserve">Mechanism: </w:t>
      </w:r>
      <w:r>
        <w:rPr>
          <w:b w:val="0"/>
          <w:i w:val="0"/>
        </w:rPr>
        <w:t>CMS opens a National Coverage Analysis to standardize CGM policy nationally — either to lock in expansion (advocacy-driven, seat-elevation style) or, in the adverse leg, to impose Coverage-with-Evidence-Development for marginal non-insulin populations. CED without funded trials equals de facto non-coverage (the TENS precedent).</w:t>
      </w:r>
    </w:p>
    <w:p>
      <w:pPr>
        <w:spacing w:after="60"/>
      </w:pPr>
      <w:r>
        <w:rPr>
          <w:b/>
          <w:i w:val="0"/>
          <w:color w:val="C0392B"/>
        </w:rPr>
        <w:t xml:space="preserve">Most-likely path &amp; timeline: </w:t>
      </w:r>
      <w:r>
        <w:rPr>
          <w:b w:val="0"/>
          <w:i w:val="0"/>
        </w:rPr>
        <w:t>NCA opened 2026–2027 → ~9–12 months to final once opened, but a 1–2 year pre-opening queue is typical. Low probability given ~4 NCAs/year throughput and a depleted coverage staff.</w:t>
      </w:r>
    </w:p>
    <w:p>
      <w:pPr>
        <w:spacing w:after="60"/>
      </w:pPr>
      <w:r>
        <w:rPr>
          <w:b/>
          <w:i w:val="0"/>
          <w:color w:val="C0392B"/>
        </w:rPr>
        <w:t xml:space="preserve">Revenue / utilization impact: </w:t>
      </w:r>
      <w:r>
        <w:rPr>
          <w:b w:val="0"/>
          <w:i w:val="0"/>
        </w:rPr>
        <w:t>Binary. The expansion leg would standardize and durably enlarge coverage (very positive); the CED/restriction leg would freeze or reverse non-insulin coverage nationally and be hard to undo (very negative — the insulin-pump-NCD stickiness lesson). Low odds, high variance — a tail to hedge, not a base case.</w:t>
      </w:r>
    </w:p>
    <w:p>
      <w:r>
        <w:rPr>
          <w:b/>
          <w:color w:val="C0392B"/>
        </w:rPr>
        <w:t xml:space="preserve">Leading indicators: </w:t>
      </w:r>
    </w:p>
    <w:p>
      <w:pPr>
        <w:pStyle w:val="ListBullet"/>
        <w:spacing w:after="60"/>
      </w:pPr>
      <w:r>
        <w:t>An NCA tracking sheet for CGM appears in the Medicare Coverage Database</w:t>
      </w:r>
    </w:p>
    <w:p>
      <w:pPr>
        <w:pStyle w:val="ListBullet"/>
        <w:spacing w:after="60"/>
      </w:pPr>
      <w:r>
        <w:t>A formal NCD request filed by a manufacturer, society, or CMS-internal initiation</w:t>
      </w:r>
    </w:p>
    <w:p>
      <w:pPr>
        <w:pStyle w:val="ListBullet"/>
        <w:spacing w:after="60"/>
      </w:pPr>
      <w:r>
        <w:t>Any CMS signal of demanding outcome trials (CED language) for non-insulin CGM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7. The Cross-Cutting Certainty: Payment Compression</w:t>
      </w:r>
    </w:p>
    <w:p>
      <w:pPr>
        <w:spacing w:after="120"/>
      </w:pPr>
      <w:r>
        <w:rPr>
          <w:b w:val="0"/>
          <w:i w:val="0"/>
        </w:rPr>
        <w:t>Whatever happens on coverage, the payment restructuring is finalized and will reshape per-patient economics. This is the most under-appreciated element of the CGM Medicare story.</w:t>
      </w:r>
    </w:p>
    <w:p>
      <w:pPr>
        <w:pStyle w:val="ListBullet"/>
        <w:spacing w:after="60"/>
      </w:pPr>
      <w:r>
        <w:rPr>
          <w:b/>
        </w:rPr>
        <w:t xml:space="preserve">Magnitude: </w:t>
      </w:r>
      <w:r>
        <w:t>Competitive bidding historically cuts DMEPOS prices 15–45%; the closest supply analog (diabetes test strips) fell 79%. A 20–35% CGM single-payment-amount cut is a reasonable planning range.</w:t>
      </w:r>
    </w:p>
    <w:p>
      <w:pPr>
        <w:pStyle w:val="ListBullet"/>
        <w:spacing w:after="60"/>
      </w:pPr>
      <w:r>
        <w:rPr>
          <w:b/>
        </w:rPr>
        <w:t xml:space="preserve">Structure: </w:t>
      </w:r>
      <w:r>
        <w:t>Monthly rental + ~10 national contract suppliers compresses the distributor layer and may strand smaller suppliers — a channel-consolidation event independent of manufacturer ASP.</w:t>
      </w:r>
    </w:p>
    <w:p>
      <w:pPr>
        <w:pStyle w:val="ListBullet"/>
        <w:spacing w:after="60"/>
      </w:pPr>
      <w:r>
        <w:rPr>
          <w:b/>
        </w:rPr>
        <w:t xml:space="preserve">Wildcard: </w:t>
      </w:r>
      <w:r>
        <w:t>The DIABETES Act (S.4037, Mar 2026) would exempt CGMs/pumps from competitive bidding for 5 years. Bipartisan Diabetes Caucus support (Shaheen, Collins, DeGette, Bilirakis) is real but passage is uncertain; treat a delay as a ~30–40% probability upside option, not a base case.</w:t>
      </w:r>
    </w:p>
    <w:p>
      <w:pPr>
        <w:pStyle w:val="ListBullet"/>
        <w:spacing w:after="60"/>
      </w:pPr>
      <w:r>
        <w:rPr>
          <w:b/>
        </w:rPr>
        <w:t xml:space="preserve">OTC gravity: </w:t>
      </w:r>
      <w:r>
        <w:t>OTC CGMs at ~$89–99/mo have established a public price anchor far below Medicare's ~$268, which OIG weaponized. Over time this anchor pulls reimbursement toward cash-pay levels regardless of bidding.</w:t>
      </w:r>
    </w:p>
    <w:p>
      <w:pPr>
        <w:spacing w:after="120"/>
      </w:pPr>
      <w:r>
        <w:rPr>
          <w:b/>
          <w:i w:val="0"/>
          <w:color w:val="1F335E"/>
        </w:rPr>
        <w:t>Synthesis: model CGM Medicare revenue as VOLUME (driven by the coverage scenario) × PRICE (almost certainly lower from 2028). The bull coverage cases (S1/S2) are partially offset by Track B; the bear cases (S3/S4) compound with it. There is no scenario in which 2028 per-unit Medicare price is higher than today.</w:t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8. Signposts &amp; Falsification</w:t>
      </w:r>
    </w:p>
    <w:p>
      <w:pPr>
        <w:spacing w:after="120"/>
      </w:pPr>
      <w:r>
        <w:rPr>
          <w:b w:val="0"/>
          <w:i w:val="0"/>
        </w:rPr>
        <w:t>Track these to update the probabilities in near-real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192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If you observe…</w:t>
            </w:r>
          </w:p>
        </w:tc>
        <w:tc>
          <w:tcPr>
            <w:tcW w:type="dxa" w:w="3888"/>
            <w:shd w:val="clear" w:color="auto" w:fill="1F335E"/>
          </w:tcPr>
          <w:p>
            <w:r/>
            <w:r>
              <w:rPr>
                <w:b/>
                <w:color w:val="FFFFFF"/>
                <w:sz w:val="18"/>
              </w:rPr>
              <w:t>Update toward…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8"/>
              </w:rPr>
              <w:t>Draft LCD DL33822 posted H2 2026 with an A1c/medication gate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S1 (raise to ~45%)</w:t>
            </w:r>
          </w:p>
        </w:tc>
      </w:tr>
      <w:tr>
        <w:tc>
          <w:tcPr>
            <w:tcW w:type="dxa" w:w="6192"/>
            <w:shd w:val="clear" w:color="auto" w:fill="EEF2F8"/>
          </w:tcPr>
          <w:p>
            <w:r/>
            <w:r>
              <w:rPr>
                <w:sz w:val="18"/>
              </w:rPr>
              <w:t>Draft LCD posted with no gating criteria</w:t>
            </w:r>
          </w:p>
        </w:tc>
        <w:tc>
          <w:tcPr>
            <w:tcW w:type="dxa" w:w="3888"/>
            <w:shd w:val="clear" w:color="auto" w:fill="EEF2F8"/>
          </w:tcPr>
          <w:p>
            <w:r/>
            <w:r>
              <w:rPr>
                <w:sz w:val="18"/>
              </w:rPr>
              <w:t>S2 (raise to ~30%+)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8"/>
              </w:rPr>
              <w:t>No draft LCD by YE2026 + integrity-focused CMS messaging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S3 / S4</w:t>
            </w:r>
          </w:p>
        </w:tc>
      </w:tr>
      <w:tr>
        <w:tc>
          <w:tcPr>
            <w:tcW w:type="dxa" w:w="6192"/>
            <w:shd w:val="clear" w:color="auto" w:fill="EEF2F8"/>
          </w:tcPr>
          <w:p>
            <w:r/>
            <w:r>
              <w:rPr>
                <w:sz w:val="18"/>
              </w:rPr>
              <w:t>CGM added to Required Prior Authorization List or new TPE wave</w:t>
            </w:r>
          </w:p>
        </w:tc>
        <w:tc>
          <w:tcPr>
            <w:tcW w:type="dxa" w:w="3888"/>
            <w:shd w:val="clear" w:color="auto" w:fill="EEF2F8"/>
          </w:tcPr>
          <w:p>
            <w:r/>
            <w:r>
              <w:rPr>
                <w:sz w:val="18"/>
              </w:rPr>
              <w:t>S4 (raise materially)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8"/>
              </w:rPr>
              <w:t>An NCA tracking sheet for CGM appears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S5 (re-underwrite as binary)</w:t>
            </w:r>
          </w:p>
        </w:tc>
      </w:tr>
      <w:tr>
        <w:tc>
          <w:tcPr>
            <w:tcW w:type="dxa" w:w="6192"/>
            <w:shd w:val="clear" w:color="auto" w:fill="EEF2F8"/>
          </w:tcPr>
          <w:p>
            <w:r/>
            <w:r>
              <w:rPr>
                <w:sz w:val="18"/>
              </w:rPr>
              <w:t>DIABETES Act advances out of committee</w:t>
            </w:r>
          </w:p>
        </w:tc>
        <w:tc>
          <w:tcPr>
            <w:tcW w:type="dxa" w:w="3888"/>
            <w:shd w:val="clear" w:color="auto" w:fill="EEF2F8"/>
          </w:tcPr>
          <w:p>
            <w:r/>
            <w:r>
              <w:rPr>
                <w:sz w:val="18"/>
              </w:rPr>
              <w:t>Track B relief — soften price-cut assumption</w:t>
            </w:r>
          </w:p>
        </w:tc>
      </w:tr>
      <w:tr>
        <w:tc>
          <w:tcPr>
            <w:tcW w:type="dxa" w:w="6192"/>
          </w:tcPr>
          <w:p>
            <w:r/>
            <w:r>
              <w:rPr>
                <w:sz w:val="18"/>
              </w:rPr>
              <w:t>Competitive-bidding SPAs come in &lt;$200/mo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Deepen price-compression assumption across all scenarios</w:t>
            </w:r>
          </w:p>
        </w:tc>
      </w:tr>
      <w:tr>
        <w:tc>
          <w:tcPr>
            <w:tcW w:type="dxa" w:w="6192"/>
            <w:shd w:val="clear" w:color="auto" w:fill="EEF2F8"/>
          </w:tcPr>
          <w:p>
            <w:r/>
            <w:r>
              <w:rPr>
                <w:sz w:val="18"/>
              </w:rPr>
              <w:t>ADA/AACE upgrade non-insulin CGM to clear (A)</w:t>
            </w:r>
          </w:p>
        </w:tc>
        <w:tc>
          <w:tcPr>
            <w:tcW w:type="dxa" w:w="3888"/>
            <w:shd w:val="clear" w:color="auto" w:fill="EEF2F8"/>
          </w:tcPr>
          <w:p>
            <w:r/>
            <w:r>
              <w:rPr>
                <w:sz w:val="18"/>
              </w:rPr>
              <w:t>Raise S1+S2 jointly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9. Primary Diligence: Who to Speak With</w:t>
      </w:r>
    </w:p>
    <w:p>
      <w:pPr>
        <w:spacing w:after="120"/>
      </w:pPr>
      <w:r>
        <w:rPr>
          <w:b w:val="0"/>
          <w:i w:val="0"/>
        </w:rPr>
        <w:t>The single biggest information edge here is non-public read on (a) whether and when the DME MACs will post a draft non-insulin LCD, (b) the likely gating criteria, and (c) how aggressively competitive-bidding SPAs will cut price. Prioritize sources closest to the DME MAC LCD process and CMS coverage/payment policy. Below, sources are tiered by value and paired with the specific questions only they can answer.</w:t>
      </w: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9.1 Tier 1 — Closest to the Decision (highest priority)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Why they have edge</w:t>
            </w:r>
          </w:p>
        </w:tc>
        <w:tc>
          <w:tcPr>
            <w:tcW w:type="dxa" w:w="3456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What to ask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Current &amp; former DME MAC Medical Directors (Noridian: Caldarella — an endocrinologist, Ballyamanda, Mamuya; CGS: Lalla)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Author and vote the Glucose Monitors LCD; know the internal evidence threshold and timeline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Likelihood/timing of a non-insulin draft LCD; what gating criteria they would require; how CONNECT changes their view; prior-auth appetite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Former CMS Coverage &amp; Analysis Group leadership (e.g., Tamara Syrek Jensen, ex-CAG Director, now Rubrum Advising)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Defined modern CED; knows NCD-vs-LCD routing logic and CMS internal posture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Would CMS ever nationalize CGM via NCD? CED risk for non-insulin? How staff cuts affect timelines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Former CMS DMEPOS / competitive-bidding payment officials (CMM / DME pricing group alumni)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Built the bidding + monthly-rental architecture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Realistic SPA discount range; rental mechanics; how inherent-reasonableness interacts; DIABETES Act odds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DME MAC LCD reconsideration / contractor medical policy staff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Process gatekeepers for draft LCDs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Is a reconsideration request pending? Valid/invalid status? Comment-period calendar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9.2 Tier 2 — Expert Intermediaries &amp; Advocates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3456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What to ask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Health-policy / reimbursement attorneys (Epstein Becker Green, DLA Piper, King &amp; Spalding DME teams)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Advise manufacturers on exactly this LCD/CB process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Base rates for draft-LCD finalization; client read on timing; litigation risk on the CB rule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Reimbursement consultancies (Applied Policy, Rubrum, ADVI, Avalere)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Track the tracking sheets; model SPAs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Their probability/timeline on expansion; SPA modeling; congressional handicapping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ADA, Breakthrough T1D, ADCES, Endocrine Society policy staff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File the comment letters; meet CMS/MACs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Have they filed a reconsideration request? Read on MAC receptiveness; advocacy plan for non-insulin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Academic endocrinologists &amp; CGM trialists (MOBILE/CONNECT/WISDM investigators; e.g., Martens, Aronson, Pratley)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Define the evidence CMS weighs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Will the evidence clear "reasonable &amp; necessary" for blanket vs. structured coverage? Durability and non-insulin effect-size honesty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9.3 Tier 3 — Market &amp; Channel Reality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type="dxa" w:w="3312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3456"/>
            <w:shd w:val="clear" w:color="auto" w:fill="1F335E"/>
          </w:tcPr>
          <w:p>
            <w:r/>
            <w:r>
              <w:rPr>
                <w:b/>
                <w:color w:val="FFFFFF"/>
                <w:sz w:val="16"/>
              </w:rPr>
              <w:t>What to ask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DME distributors / suppliers (Byram, Edgepark/Cardinal, ADS, US MED)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Live the channel; will bid in CB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Expected bid behavior; margin at $200–270/mo rental; consolidation; documentation-denial rates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Manufacturer market-access / government-affairs leaders (DexCom, Abbott)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Drive the lobbying &amp; evidence strategy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Their LCD timeline expectations beyond earnings-call language; gating they would accept; CB mitigation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Medicare Advantage &amp; commercial payer medical directors / PBM formulary leads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Leading indicator of coverage drift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Are they covering non-insulin T2D ahead of FFS? Utilization-management posture; OTC substitution</w:t>
            </w:r>
          </w:p>
        </w:tc>
      </w:tr>
      <w:tr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Practicing primary-care &amp; endocrinology prescribers + diabetes educators</w:t>
            </w:r>
          </w:p>
        </w:tc>
        <w:tc>
          <w:tcPr>
            <w:tcW w:type="dxa" w:w="3312"/>
            <w:shd w:val="clear" w:color="auto" w:fill="EEF2F8"/>
          </w:tcPr>
          <w:p>
            <w:r/>
            <w:r>
              <w:rPr>
                <w:sz w:val="16"/>
              </w:rPr>
              <w:t>Determine real-world uptake vs. TAM</w:t>
            </w:r>
          </w:p>
        </w:tc>
        <w:tc>
          <w:tcPr>
            <w:tcW w:type="dxa" w:w="3456"/>
            <w:shd w:val="clear" w:color="auto" w:fill="EEF2F8"/>
          </w:tcPr>
          <w:p>
            <w:r/>
            <w:r>
              <w:rPr>
                <w:sz w:val="16"/>
              </w:rPr>
              <w:t>Documentation burden; how a structured-program gate would throttle prescribing; patient demand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color w:val="2E74B5"/>
          <w:sz w:val="25"/>
        </w:rPr>
        <w:t>9.4 Recommended Sequencing</w:t>
      </w:r>
    </w:p>
    <w:p>
      <w:pPr>
        <w:pStyle w:val="ListNumber"/>
        <w:spacing w:after="60"/>
      </w:pPr>
      <w:r>
        <w:rPr>
          <w:b/>
        </w:rPr>
        <w:t xml:space="preserve">Calibrate: </w:t>
      </w:r>
      <w:r>
        <w:t>Start with 2–3 reimbursement consultancies/attorneys to calibrate the base case and the calendar (fast, broad, non-confidential).</w:t>
      </w:r>
    </w:p>
    <w:p>
      <w:pPr>
        <w:pStyle w:val="ListNumber"/>
        <w:spacing w:after="60"/>
      </w:pPr>
      <w:r>
        <w:rPr>
          <w:b/>
        </w:rPr>
        <w:t xml:space="preserve">Go deep: </w:t>
      </w:r>
      <w:r>
        <w:t>Then a former DME MAC medical director and a former CMS payment official — the two people who can most directly de-risk the coverage timeline and the SPA magnitude.</w:t>
      </w:r>
    </w:p>
    <w:p>
      <w:pPr>
        <w:pStyle w:val="ListNumber"/>
        <w:spacing w:after="60"/>
      </w:pPr>
      <w:r>
        <w:rPr>
          <w:b/>
        </w:rPr>
        <w:t xml:space="preserve">Reality-check: </w:t>
      </w:r>
      <w:r>
        <w:t>Cross-check with distributors and MA/PBM medical directors to ground the TAM-to-revenue conversion and price reality.</w:t>
      </w:r>
    </w:p>
    <w:p>
      <w:pPr>
        <w:pStyle w:val="ListNumber"/>
        <w:spacing w:after="60"/>
      </w:pPr>
      <w:r>
        <w:rPr>
          <w:b/>
        </w:rPr>
        <w:t xml:space="preserve">Confirm thesis: </w:t>
      </w:r>
      <w:r>
        <w:t>Use advocacy and academic calls to confirm whether the evidence and the advocacy push are strong enough to force the modal S1/S2 outcome vs. the S3 delay.</w:t>
      </w:r>
    </w:p>
    <w:p>
      <w:pPr>
        <w:spacing w:after="120"/>
      </w:pPr>
      <w:r>
        <w:rPr>
          <w:b w:val="0"/>
          <w:i/>
          <w:color w:val="595959"/>
          <w:sz w:val="19"/>
        </w:rPr>
        <w:t>Conflict-of-interest discipline: manufacturer, advocacy, and consultancy sources are directionally long the expansion. Weight former government and independent-distributor sources most heavily for the timing and the price cut, where the incentive to spin is lowest.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Appendix A. Key Facts &amp;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72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Fact</w:t>
            </w:r>
          </w:p>
        </w:tc>
        <w:tc>
          <w:tcPr>
            <w:tcW w:type="dxa" w:w="2880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584"/>
            <w:shd w:val="clear" w:color="auto" w:fill="1F335E"/>
          </w:tcPr>
          <w:p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Competitive bidding + monthly rental finalized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Nov 28, 2025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CB contracts effective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≤ Jan 1, 2028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CGM monthly bid limit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$272.69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A4239 monthly supply allowance (2025)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$267.92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2023 LCD expansion (any insulin / hypo)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Apr 16, 2023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OIG overpayment vs. supplier cost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$377M / 69% per yr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Medicare Part B CGM spend 2018→2023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$109M → $1.3B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CONNECT non-insulin T2D A1c benefit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~−0.9% vs. routine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Non-insulin T2D Medicare opportunity (mfr. est.)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~12M lives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8860B"/>
                <w:sz w:val="17"/>
              </w:rPr>
              <w:t>Medium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Draft non-insulin LCD as of Jun 2026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NOT yet posted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B8860B"/>
                <w:sz w:val="17"/>
              </w:rPr>
              <w:t>Med-High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Dexcom-expected expansion proposal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H1/H2 2026 (mfr. guidance)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8860B"/>
                <w:sz w:val="17"/>
              </w:rPr>
              <w:t>Medium</w:t>
            </w:r>
          </w:p>
        </w:tc>
      </w:tr>
      <w:tr>
        <w:tc>
          <w:tcPr>
            <w:tcW w:type="dxa" w:w="5472"/>
            <w:shd w:val="clear" w:color="auto" w:fill="EEF2F8"/>
          </w:tcPr>
          <w:p>
            <w:r/>
            <w:r>
              <w:rPr>
                <w:sz w:val="17"/>
              </w:rPr>
              <w:t>NCAs completed per year (program-wide)</w:t>
            </w:r>
          </w:p>
        </w:tc>
        <w:tc>
          <w:tcPr>
            <w:tcW w:type="dxa" w:w="2880"/>
            <w:shd w:val="clear" w:color="auto" w:fill="EEF2F8"/>
          </w:tcPr>
          <w:p>
            <w:r/>
            <w:r>
              <w:rPr>
                <w:sz w:val="17"/>
              </w:rPr>
              <w:t>~4</w:t>
            </w:r>
          </w:p>
        </w:tc>
        <w:tc>
          <w:tcPr>
            <w:tcW w:type="dxa" w:w="1584"/>
            <w:shd w:val="clear" w:color="auto" w:fill="EEF2F8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7"/>
              </w:rPr>
              <w:t>CMS coverage staff change since Dec 2024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−22%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2E7D32"/>
                <w:sz w:val="17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color w:val="1F335E"/>
          <w:sz w:val="32"/>
        </w:rPr>
        <w:t>Appendix B. Source Base</w:t>
      </w:r>
    </w:p>
    <w:p>
      <w:pPr>
        <w:spacing w:after="120"/>
      </w:pPr>
      <w:r>
        <w:rPr>
          <w:b w:val="0"/>
          <w:i w:val="0"/>
          <w:sz w:val="19"/>
        </w:rPr>
        <w:t>This analysis was built from primary and authoritative secondary sources, including:</w:t>
      </w:r>
    </w:p>
    <w:p>
      <w:pPr>
        <w:pStyle w:val="ListBullet"/>
        <w:spacing w:after="60"/>
      </w:pPr>
      <w:r>
        <w:rPr>
          <w:sz w:val="18"/>
        </w:rPr>
        <w:t>CMS: Ruling 1682-R; LCD L33822 &amp; Policy Article A52464; DMEPOS final rules CMS-1738-F (2021) and CMS-1828-F (Nov 2025); Competitive Bidding Program fact sheets; DMEPOS fee schedule.</w:t>
      </w:r>
    </w:p>
    <w:p>
      <w:pPr>
        <w:pStyle w:val="ListBullet"/>
        <w:spacing w:after="60"/>
      </w:pPr>
      <w:r>
        <w:rPr>
          <w:sz w:val="18"/>
        </w:rPr>
        <w:t>OIG: OEI-04-23-00430 (Nov 2025) CGM payment report; FFS improper-payment supplemental data.</w:t>
      </w:r>
    </w:p>
    <w:p>
      <w:pPr>
        <w:pStyle w:val="ListBullet"/>
        <w:spacing w:after="60"/>
      </w:pPr>
      <w:r>
        <w:rPr>
          <w:sz w:val="18"/>
        </w:rPr>
        <w:t>GAO-25-107623 (Sept 2025) on NCD timelines and CMS coverage staffing.</w:t>
      </w:r>
    </w:p>
    <w:p>
      <w:pPr>
        <w:pStyle w:val="ListBullet"/>
        <w:spacing w:after="60"/>
      </w:pPr>
      <w:r>
        <w:rPr>
          <w:sz w:val="18"/>
        </w:rPr>
        <w:t>Clinical: MOBILE (JAMA 2021); CONNECT (ADA 2026); WISDM (JAMA 2020); IMMEDIATE (DOM 2023); Wada (BMJ Open DRC 2020); Richardson behavior-change meta-analysis (IJBNPA 2024); Optum (Garg 2024) &amp; RELIEF (Diabetes Care 2021) real-world studies.</w:t>
      </w:r>
    </w:p>
    <w:p>
      <w:pPr>
        <w:pStyle w:val="ListBullet"/>
        <w:spacing w:after="60"/>
      </w:pPr>
      <w:r>
        <w:rPr>
          <w:sz w:val="18"/>
        </w:rPr>
        <w:t>Guidelines: ADA Standards of Care 2026; AACE 2021 Advanced Diabetes Technology; NICE NG28/QS209.</w:t>
      </w:r>
    </w:p>
    <w:p>
      <w:pPr>
        <w:pStyle w:val="ListBullet"/>
        <w:spacing w:after="60"/>
      </w:pPr>
      <w:r>
        <w:rPr>
          <w:sz w:val="18"/>
        </w:rPr>
        <w:t>Precedents: CMS NCDs 280.14 (insulin pump), 240.2 (oxygen), 240.4 (CPAP), 160.27 (TENS/CLBP), 280.16 (seat elevation); MolDX foundation LCDs; Eversense I-CGM LCDs; power-mobility &amp; test-strip CB history.</w:t>
      </w:r>
    </w:p>
    <w:p>
      <w:pPr>
        <w:pStyle w:val="ListBullet"/>
        <w:spacing w:after="60"/>
      </w:pPr>
      <w:r>
        <w:rPr>
          <w:sz w:val="18"/>
        </w:rPr>
        <w:t>Markets: DexCom, Abbott, Medtronic, Senseonics SEC filings &amp; FY2023–FY2025 earnings calls; Mordor Intelligence CGM share; MedTech Dive, Modern Healthcare, Applied Policy, AAHomecare, DLA Piper analyses.</w:t>
      </w:r>
    </w:p>
    <w:p>
      <w:pPr>
        <w:pStyle w:val="ListBullet"/>
        <w:spacing w:after="60"/>
      </w:pPr>
      <w:r>
        <w:rPr>
          <w:sz w:val="18"/>
        </w:rPr>
        <w:t>Policy/stakeholder: DIABETES Act S.4037 (2026); Diabetes Caucus letters; AdvaMed/ADA/Breakthrough T1D/ADCES/Endocrine Society positions; DOJ June 2025 fraud takedown; OpenSecrets lobbying data.</w:t>
      </w:r>
    </w:p>
    <w:p>
      <w:pPr>
        <w:spacing w:after="120"/>
      </w:pPr>
      <w:r>
        <w:rPr>
          <w:b w:val="0"/>
          <w:i w:val="0"/>
        </w:rPr>
      </w:r>
    </w:p>
    <w:p>
      <w:r>
        <w:rPr>
          <w:b/>
          <w:color w:val="595959"/>
          <w:sz w:val="17"/>
        </w:rPr>
        <w:t xml:space="preserve">Disclaimer: </w:t>
      </w:r>
      <w:r>
        <w:rPr>
          <w:i/>
          <w:color w:val="595959"/>
          <w:sz w:val="17"/>
        </w:rPr>
        <w:t>This document is an internal diligence aid. Probabilities are analyst judgments, not forecasts. Several quantitative figures derive from manufacturer estimates or single analyst sources and are flagged accordingly; verify load-bearing assumptions through the Section 9 primary diligence plan before relying on them for an investment decision. Not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