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color w:val="C49A3B"/>
          <w:sz w:val="20"/>
        </w:rPr>
        <w:t>STRICTLY PRIVATE &amp; CONFIDENTIAL</w:t>
      </w:r>
    </w:p>
    <w:p>
      <w:pPr>
        <w:jc w:val="center"/>
      </w:pPr>
      <w:r>
        <w:rPr>
          <w:b/>
          <w:i w:val="0"/>
          <w:color w:val="0B2545"/>
          <w:sz w:val="56"/>
        </w:rPr>
        <w:t>Nordic Capital Engaged Equities</w:t>
      </w:r>
    </w:p>
    <w:p>
      <w:pPr>
        <w:jc w:val="center"/>
      </w:pPr>
      <w:r>
        <w:rPr>
          <w:b w:val="0"/>
          <w:i w:val="0"/>
          <w:color w:val="595959"/>
          <w:sz w:val="28"/>
        </w:rPr>
        <w:t>A Constructive Activism Strategy for US and European Public Markets</w:t>
      </w:r>
    </w:p>
    <w:p/>
    <w:p>
      <w:pPr>
        <w:jc w:val="center"/>
      </w:pPr>
      <w:r>
        <w:rPr>
          <w:b w:val="0"/>
          <w:i/>
          <w:sz w:val="22"/>
        </w:rPr>
        <w:t>Proposal to launch a USD 1.5 billion engaged public-equities vehicle</w:t>
      </w:r>
    </w:p>
    <w:p/>
    <w:p/>
    <w:p/>
    <w:p/>
    <w:p/>
    <w:p/>
    <w:p/>
    <w:p/>
    <w:p>
      <w:pPr>
        <w:jc w:val="center"/>
      </w:pPr>
      <w:r>
        <w:rPr>
          <w:b w:val="0"/>
          <w:i w:val="0"/>
          <w:sz w:val="20"/>
        </w:rPr>
        <w:t>Prepared for: Managing Partner &amp; Executive Committee, Nordic Capital</w:t>
      </w:r>
    </w:p>
    <w:p>
      <w:pPr>
        <w:jc w:val="center"/>
      </w:pPr>
      <w:r>
        <w:rPr>
          <w:b w:val="0"/>
          <w:i w:val="0"/>
          <w:sz w:val="20"/>
        </w:rPr>
        <w:t>June 2026</w:t>
      </w:r>
    </w:p>
    <w:p>
      <w:pPr>
        <w:jc w:val="center"/>
      </w:pPr>
      <w:r>
        <w:rPr>
          <w:b w:val="0"/>
          <w:i/>
          <w:color w:val="595959"/>
          <w:sz w:val="17"/>
        </w:rPr>
        <w:t>Illustrative discussion material. Company references are based solely on public information and do not constitute investment recommendations.</w:t>
      </w:r>
    </w:p>
    <w:p>
      <w:r>
        <w:br w:type="page"/>
      </w:r>
    </w:p>
    <w:p>
      <w:pPr>
        <w:pStyle w:val="Heading1"/>
      </w:pPr>
      <w:r>
        <w:t>1. Executive Summary</w:t>
      </w:r>
    </w:p>
    <w:p>
      <w:r>
        <w:rPr>
          <w:b w:val="0"/>
          <w:i w:val="0"/>
        </w:rPr>
        <w:t>We propose that Nordic Capital launch a dedicated public-markets strategy — “Nordic Capital Engaged Equities” — a USD 1.5 billion (hard cap USD 2.0 billion) vehicle pursuing constructive activism in listed US and European mid-caps. The strategy applies the firm's private equity value-creation playbook — operational improvement, portfolio simplification, disciplined capital allocation and strategic M&amp;A — to a concentrated book of 6–8 public companies in the firm's core sectors, where Nordic Capital takes 2–10% ownership stakes, secures board-level influence, and drives a 2–4 year value plan. Europe (including the Nordic home market) is expected to carry 50–60% of the book and the United States 40–50%, with allocation following sector opportunity rather than geographic quota.</w:t>
      </w:r>
    </w:p>
    <w:p>
      <w:pPr>
        <w:pStyle w:val="ListBullet"/>
        <w:spacing w:after="80"/>
      </w:pPr>
      <w:r>
        <w:rPr>
          <w:b/>
        </w:rPr>
        <w:t xml:space="preserve">Activism is at record levels and increasingly M&amp;A-driven. </w:t>
      </w:r>
      <w:r>
        <w:t>2025 was a record year for global shareholder campaigns, and an unusually high share of recent campaigns carry M&amp;A demands — terrain where a private equity sponsor has structural advantages no hedge-fund activist can match. The US remains the deepest activism market; Europe is the fastest-growing and least crowded.</w:t>
      </w:r>
    </w:p>
    <w:p>
      <w:pPr>
        <w:pStyle w:val="ListBullet"/>
        <w:spacing w:after="80"/>
      </w:pPr>
      <w:r>
        <w:rPr>
          <w:b/>
        </w:rPr>
        <w:t xml:space="preserve">Two regimes, one playbook. </w:t>
      </w:r>
      <w:r>
        <w:t>In Europe — and above all in the Nordic home market — shareholder-elected nomination committees, low EGM thresholds and ownership transparency let a 4–8% holder win board influence quietly. In the US, the universal proxy card has structurally lowered the cost of board challenges, making credible, well-resourced engagement effective at 2–6% stakes. The same value plans work in both; only the influence mechanics differ.</w:t>
      </w:r>
    </w:p>
    <w:p>
      <w:pPr>
        <w:pStyle w:val="ListBullet"/>
        <w:spacing w:after="80"/>
      </w:pPr>
      <w:r>
        <w:rPr>
          <w:b/>
        </w:rPr>
        <w:t xml:space="preserve">The sector lens travels; the competition doesn't. </w:t>
      </w:r>
      <w:r>
        <w:t>Nordic Capital's underwriting edge in healthcare &amp; medtech, technology &amp; payments, financial services and industrials applies identically to a Philadelphia medtech and a Stockholm one. Operationally credible, sponsor-backed engagement capital is scarce on both sides of the Atlantic — Cevian dominates constructive activism in Europe but has no US book, while US activists lack operating benches and European legitimacy.</w:t>
      </w:r>
    </w:p>
    <w:p>
      <w:pPr>
        <w:pStyle w:val="ListBullet"/>
        <w:spacing w:after="80"/>
      </w:pPr>
      <w:r>
        <w:rPr>
          <w:b/>
        </w:rPr>
        <w:t xml:space="preserve">Nordic Capital is uniquely positioned. </w:t>
      </w:r>
      <w:r>
        <w:t>Three decades of operating credibility, &gt;EUR 31bn AUM, a New York presence and a growing North American investment record in healthcare and technology, and an unrivalled bench of chairs, CEOs and operating advisors to propose as directors — the single hardest resource for any activist to assemble.</w:t>
      </w:r>
    </w:p>
    <w:p>
      <w:pPr>
        <w:pStyle w:val="ListBullet"/>
        <w:spacing w:after="80"/>
      </w:pPr>
      <w:r>
        <w:rPr>
          <w:b/>
        </w:rPr>
        <w:t xml:space="preserve">Strategic synergies compound the core P&amp;L. </w:t>
      </w:r>
      <w:r>
        <w:t>The public strategy becomes a pipeline for take-privates and structured PIPEs, a catalyst for carve-outs the buyout funds can acquire, and an extension of LP relationships into a new product line — diversifying fee streams beyond the flagship buyout franchise.</w:t>
      </w:r>
    </w:p>
    <w:p>
      <w:r>
        <w:rPr>
          <w:b w:val="0"/>
          <w:i w:val="0"/>
        </w:rPr>
        <w:t>We recommend a phased launch: internal approval and conflicts framework in H2 2026, a founding team of 11–13 led by a partner-level Head of Engaged Equities — with US situations and campaign strategy led by Knut Nyman, joining from Elliott Investment Management — a EUR 150–200m GP/employee seed commitment, first close of ~USD 750m in mid-2027, and initial deployment timed to the 2028 board cycles in both regions. Target net returns of 15%+ over a cycle, with management economics accretive to the platform from year two.</w:t>
      </w:r>
    </w:p>
    <w:p>
      <w:r>
        <w:br w:type="page"/>
      </w:r>
    </w:p>
    <w:p>
      <w:pPr>
        <w:pStyle w:val="Heading1"/>
      </w:pPr>
      <w:r>
        <w:t>2. The Opportunity: Why Public-Market Activism, Why Now</w:t>
      </w:r>
    </w:p>
    <w:p>
      <w:pPr>
        <w:pStyle w:val="Heading2"/>
      </w:pPr>
      <w:r>
        <w:t>2.1 The valuation gap has become a strategic opening</w:t>
      </w:r>
    </w:p>
    <w:p>
      <w:r>
        <w:rPr>
          <w:b w:val="0"/>
          <w:i w:val="0"/>
        </w:rPr>
        <w:t>On both sides of the Atlantic, a large cohort of quality mid-cap franchises in Nordic Capital's core sectors trades at 30–50% discounts to intrinsic value on sum-of-the-parts or normalised-margin bases. In Europe, the discount is structural: persistent under-valuation versus US peers, compounded in mid-caps by a decade of sell-side consolidation and MiFID II research unbundling. In the US, the post-2021 de-rating of medtech, payments and software left a generation of fallen-angel quality compounders at private-market discounts even as indices set records — and the activism toolkit there has never been stronger. In both regions, public-market multiples for these companies sit below the entry multiples Nordic Capital's buyout funds routinely pay in competitive private processes — the public market is offering the firm's core hunting ground at a discount, without an auction.</w:t>
      </w:r>
    </w:p>
    <w:p>
      <w:pPr>
        <w:pStyle w:val="Heading2"/>
      </w:pPr>
      <w:r>
        <w:t>2.2 Activism has gone mainstream — and M&amp;A-centric</w:t>
      </w:r>
    </w:p>
    <w:p>
      <w:pPr>
        <w:pStyle w:val="ListBullet"/>
        <w:spacing w:after="80"/>
      </w:pPr>
      <w:r>
        <w:t>2025 set a record for global activist campaigns, with activity broadening across geographies, market caps and campaign types.</w:t>
      </w:r>
    </w:p>
    <w:p>
      <w:pPr>
        <w:pStyle w:val="ListBullet"/>
        <w:spacing w:after="80"/>
      </w:pPr>
      <w:r>
        <w:t>In late 2025, roughly six in ten campaigns carried an M&amp;A thesis (break-ups, divestitures, sale processes) — the highest share in five years. M&amp;A-driven activism plays directly to a private equity sponsor's strengths: valuing businesses, running separations, and standing ready as a buyer or financing partner.</w:t>
      </w:r>
    </w:p>
    <w:p>
      <w:pPr>
        <w:pStyle w:val="ListBullet"/>
        <w:spacing w:after="80"/>
      </w:pPr>
      <w:r>
        <w:t>Universal owners (index funds, pension institutions) increasingly support well-argued engagement agendas on both continents, lowering the vote-getting cost of campaigns.</w:t>
      </w:r>
    </w:p>
    <w:p>
      <w:pPr>
        <w:pStyle w:val="ListBullet"/>
        <w:spacing w:after="80"/>
      </w:pPr>
      <w:r>
        <w:t>Competition is mis-shaped, not absent: US activism is crowded at the mega-cap end but thin in operationally complex mid-caps; in Europe, Cevian (constructive, large-cap drift) and episodic US visitors leave the EUR 2–10bn segment structurally underserved. Operationally credible, sponsor-backed engagement capital is scarce everywhere.</w:t>
      </w:r>
    </w:p>
    <w:p>
      <w:pPr>
        <w:pStyle w:val="Heading2"/>
      </w:pPr>
      <w:r>
        <w:t>2.3 Two engagement regimes, one playbook</w:t>
      </w:r>
    </w:p>
    <w:p>
      <w:r>
        <w:rPr>
          <w:b w:val="0"/>
          <w:i w:val="0"/>
        </w:rPr>
        <w:t>The strategy runs the same underwriting and the same value plans in both regions; only the influence mechanics differ:</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fill="0B2545"/>
          </w:tcPr>
          <w:p>
            <w:r/>
            <w:r>
              <w:rPr>
                <w:b/>
                <w:color w:val="FFFFFF"/>
                <w:sz w:val="19"/>
              </w:rPr>
              <w:t>Dimension</w:t>
            </w:r>
          </w:p>
        </w:tc>
        <w:tc>
          <w:tcPr>
            <w:tcW w:type="dxa" w:w="4032"/>
            <w:shd w:fill="0B2545"/>
          </w:tcPr>
          <w:p>
            <w:r/>
            <w:r>
              <w:rPr>
                <w:b/>
                <w:color w:val="FFFFFF"/>
                <w:sz w:val="19"/>
              </w:rPr>
              <w:t>Europe / Nordics (home field)</w:t>
            </w:r>
          </w:p>
        </w:tc>
        <w:tc>
          <w:tcPr>
            <w:tcW w:type="dxa" w:w="3888"/>
            <w:shd w:fill="0B2545"/>
          </w:tcPr>
          <w:p>
            <w:r/>
            <w:r>
              <w:rPr>
                <w:b/>
                <w:color w:val="FFFFFF"/>
                <w:sz w:val="19"/>
              </w:rPr>
              <w:t>United States</w:t>
            </w:r>
          </w:p>
        </w:tc>
      </w:tr>
      <w:tr>
        <w:tc>
          <w:tcPr>
            <w:tcW w:type="dxa" w:w="1872"/>
          </w:tcPr>
          <w:p>
            <w:r/>
            <w:r>
              <w:rPr>
                <w:sz w:val="19"/>
              </w:rPr>
              <w:t>Path to the board</w:t>
            </w:r>
          </w:p>
        </w:tc>
        <w:tc>
          <w:tcPr>
            <w:tcW w:type="dxa" w:w="4032"/>
          </w:tcPr>
          <w:p>
            <w:r/>
            <w:r>
              <w:rPr>
                <w:sz w:val="19"/>
              </w:rPr>
              <w:t>Shareholder-elected nomination committees (Nordics: top 3–4 holders as of Aug/Sep records) and constructive sphere engagement; a 4–8% stake routinely wins direct influence without a proxy fight.</w:t>
            </w:r>
          </w:p>
        </w:tc>
        <w:tc>
          <w:tcPr>
            <w:tcW w:type="dxa" w:w="3888"/>
          </w:tcPr>
          <w:p>
            <w:r/>
            <w:r>
              <w:rPr>
                <w:sz w:val="19"/>
              </w:rPr>
              <w:t>Universal proxy card (2022) structurally lowered the cost of board challenges; most campaigns now settle for seats. Credible slates + 2–6% stakes suffice.</w:t>
            </w:r>
          </w:p>
        </w:tc>
      </w:tr>
      <w:tr>
        <w:tc>
          <w:tcPr>
            <w:tcW w:type="dxa" w:w="1872"/>
            <w:shd w:fill="F2F4F8"/>
          </w:tcPr>
          <w:p>
            <w:r/>
            <w:r>
              <w:rPr>
                <w:sz w:val="19"/>
              </w:rPr>
              <w:t>Escalation tools</w:t>
            </w:r>
          </w:p>
        </w:tc>
        <w:tc>
          <w:tcPr>
            <w:tcW w:type="dxa" w:w="4032"/>
            <w:shd w:fill="F2F4F8"/>
          </w:tcPr>
          <w:p>
            <w:r/>
            <w:r>
              <w:rPr>
                <w:sz w:val="19"/>
              </w:rPr>
              <w:t>Low EGM thresholds (10% in Sweden); ownership transparency (public registers) enables precise coalition mapping.</w:t>
            </w:r>
          </w:p>
        </w:tc>
        <w:tc>
          <w:tcPr>
            <w:tcW w:type="dxa" w:w="3888"/>
            <w:shd w:fill="F2F4F8"/>
          </w:tcPr>
          <w:p>
            <w:r/>
            <w:r>
              <w:rPr>
                <w:sz w:val="19"/>
              </w:rPr>
              <w:t>13D platform, precision proxy contests, settlement negotiation; deep advisor ecosystem (solicitors, banks, law firms).</w:t>
            </w:r>
          </w:p>
        </w:tc>
      </w:tr>
      <w:tr>
        <w:tc>
          <w:tcPr>
            <w:tcW w:type="dxa" w:w="1872"/>
          </w:tcPr>
          <w:p>
            <w:r/>
            <w:r>
              <w:rPr>
                <w:sz w:val="19"/>
              </w:rPr>
              <w:t>Culture &amp; cost</w:t>
            </w:r>
          </w:p>
        </w:tc>
        <w:tc>
          <w:tcPr>
            <w:tcW w:type="dxa" w:w="4032"/>
          </w:tcPr>
          <w:p>
            <w:r/>
            <w:r>
              <w:rPr>
                <w:sz w:val="19"/>
              </w:rPr>
              <w:t>Consensus boards; private argumentation usually sufficient; low campaign cost; brand-compatible conduct.</w:t>
            </w:r>
          </w:p>
        </w:tc>
        <w:tc>
          <w:tcPr>
            <w:tcW w:type="dxa" w:w="3888"/>
          </w:tcPr>
          <w:p>
            <w:r/>
            <w:r>
              <w:rPr>
                <w:sz w:val="19"/>
              </w:rPr>
              <w:t>Faster, more transactional; settlements common within 6–12 months; higher campaign cost, higher liquidity.</w:t>
            </w:r>
          </w:p>
        </w:tc>
      </w:tr>
      <w:tr>
        <w:tc>
          <w:tcPr>
            <w:tcW w:type="dxa" w:w="1872"/>
            <w:shd w:fill="F2F4F8"/>
          </w:tcPr>
          <w:p>
            <w:r/>
            <w:r>
              <w:rPr>
                <w:sz w:val="19"/>
              </w:rPr>
              <w:t>Our edge</w:t>
            </w:r>
          </w:p>
        </w:tc>
        <w:tc>
          <w:tcPr>
            <w:tcW w:type="dxa" w:w="4032"/>
            <w:shd w:fill="F2F4F8"/>
          </w:tcPr>
          <w:p>
            <w:r/>
            <w:r>
              <w:rPr>
                <w:sz w:val="19"/>
              </w:rPr>
              <w:t>Domestic legitimacy of a 30-year Stockholm-rooted owner; the region's best director bench; Cevian-validated model with no second practitioner.</w:t>
            </w:r>
          </w:p>
        </w:tc>
        <w:tc>
          <w:tcPr>
            <w:tcW w:type="dxa" w:w="3888"/>
            <w:shd w:fill="F2F4F8"/>
          </w:tcPr>
          <w:p>
            <w:r/>
            <w:r>
              <w:rPr>
                <w:sz w:val="19"/>
              </w:rPr>
              <w:t>Sector operating credibility US activists lack; PE-grade separation expertise for the M&amp;A-heavy campaign mix; team hired from the US activist front line.</w:t>
            </w:r>
          </w:p>
        </w:tc>
      </w:tr>
    </w:tbl>
    <w:p/>
    <w:p>
      <w:r>
        <w:rPr>
          <w:b w:val="0"/>
          <w:i w:val="0"/>
        </w:rPr>
        <w:t>Proof of concept exists in both regimes: Cevian's two-decade, board-seat-driven record in Europe (low-to-mid-teens net over cycles), and the post-universal-proxy wave of US settlements showing that well-resourced engagement now converts to board influence at historically small stakes. What does not yet exist is a practitioner combining PE operating depth with a transatlantic mandate. Nordic Capital can be that firm, with advantages neither Cevian nor the US funds have: a buyout balance sheet behind the engagement, and operating resources measured in hundreds of professionals.</w:t>
      </w:r>
    </w:p>
    <w:p>
      <w:r>
        <w:br w:type="page"/>
      </w:r>
    </w:p>
    <w:p>
      <w:pPr>
        <w:pStyle w:val="Heading1"/>
      </w:pPr>
      <w:r>
        <w:t>3. Why Nordic Capital Wins</w:t>
      </w:r>
    </w:p>
    <w:p>
      <w:pPr>
        <w:pStyle w:val="ListBullet"/>
        <w:spacing w:after="80"/>
      </w:pPr>
      <w:r>
        <w:rPr>
          <w:b/>
        </w:rPr>
        <w:t xml:space="preserve">Operating credibility, not financial engineering. </w:t>
      </w:r>
      <w:r>
        <w:t>Three decades and &gt;EUR 31bn of AUM built on operational transformation in healthcare, technology &amp; payments, financial services and industrial &amp; business services. When Nordic Capital tells a board the margin gap to best-in-class is 400bps, it speaks as an owner that has closed that gap repeatedly in private portfolios.</w:t>
      </w:r>
    </w:p>
    <w:p>
      <w:pPr>
        <w:pStyle w:val="ListBullet"/>
        <w:spacing w:after="80"/>
      </w:pPr>
      <w:r>
        <w:rPr>
          <w:b/>
        </w:rPr>
        <w:t xml:space="preserve">The network is the moat. </w:t>
      </w:r>
      <w:r>
        <w:t>An unmatched bench of Nordic chairs, former CEOs and operating advisors who can be proposed as board candidates — the single hardest resource for any activist to assemble, and the one that decides outcomes in a nomination-committee system.</w:t>
      </w:r>
    </w:p>
    <w:p>
      <w:pPr>
        <w:pStyle w:val="ListBullet"/>
        <w:spacing w:after="80"/>
      </w:pPr>
      <w:r>
        <w:rPr>
          <w:b/>
        </w:rPr>
        <w:t xml:space="preserve">Legitimacy in Europe, credibility in the US. </w:t>
      </w:r>
      <w:r>
        <w:t>European institutions, family spheres and governments engage very differently with a Stockholm-rooted owner of 30 years than with a hedge-fund activist — lower friction means cheaper, faster, quieter wins. In the US, the firm's New York presence, North American healthcare and technology investments, and a campaign team hired from the US activist front line give it standing that European engagement funds have never built.</w:t>
      </w:r>
    </w:p>
    <w:p>
      <w:pPr>
        <w:pStyle w:val="ListBullet"/>
        <w:spacing w:after="80"/>
      </w:pPr>
      <w:r>
        <w:rPr>
          <w:b/>
        </w:rPr>
        <w:t xml:space="preserve">Sector depth = underwriting edge, in both regions. </w:t>
      </w:r>
      <w:r>
        <w:t>The firm's diligence pattern-recognition in medtech, software, payments and specialty financials applies identically to listed mid-caps in Boston, Amsterdam and Stockholm — much of the universe comprises businesses Nordic Capital has studied, bid on, or competed against.</w:t>
      </w:r>
    </w:p>
    <w:p>
      <w:pPr>
        <w:pStyle w:val="ListBullet"/>
        <w:spacing w:after="80"/>
      </w:pPr>
      <w:r>
        <w:rPr>
          <w:b/>
        </w:rPr>
        <w:t xml:space="preserve">Two-way pipeline with the buyout franchise. </w:t>
      </w:r>
      <w:r>
        <w:t>Public engagement surfaces take-private and PIPE opportunities for the flagship funds; conversely, activism that catalyses carve-outs creates proprietary deal flow. (Subject to the information-barrier framework in Section 8 — the synergy operates at the level of market intelligence and brand, with strict legal separation of MNPI.)</w:t>
      </w:r>
    </w:p>
    <w:p>
      <w:pPr>
        <w:pStyle w:val="ListBullet"/>
        <w:spacing w:after="80"/>
      </w:pPr>
      <w:r>
        <w:rPr>
          <w:b/>
        </w:rPr>
        <w:t xml:space="preserve">LP demand for a second product. </w:t>
      </w:r>
      <w:r>
        <w:t>Existing LPs seeking Nordic exposure with liquidity, plus dedicated activist/engagement allocators, give the raise a warm starting book. Evolution II's four-month, hard-cap close demonstrates the franchise's fundraising velocity.</w:t>
      </w:r>
    </w:p>
    <w:p>
      <w:pPr>
        <w:pStyle w:val="Heading1"/>
      </w:pPr>
      <w:r>
        <w:t>4. Investment Strategy</w:t>
      </w:r>
    </w:p>
    <w:p>
      <w:pPr>
        <w:pStyle w:val="Heading2"/>
      </w:pPr>
      <w:r>
        <w:t>4.1 Strategy statement</w:t>
      </w:r>
    </w:p>
    <w:p>
      <w:r>
        <w:rPr>
          <w:b w:val="0"/>
          <w:i w:val="0"/>
        </w:rPr>
        <w:t>Acquire 2–10% positions in 6–8 listed US and European companies with USD 2–15bn market capitalisation, in Nordic Capital's core sectors, where a clearly identifiable gap exists between market price and intrinsic value, and where that gap can be closed within 2–4 years through actions the company itself can take: operational improvement, portfolio separation or divestiture, capital-allocation reform, or strategic transactions. Influence is exercised through each market's governance machinery — nomination committees, board representation and sphere engagement in Europe; universal-proxy-backed private engagement and negotiated board refreshment in the US — with public pressure reserved as an escalation, not a default.</w:t>
      </w:r>
    </w:p>
    <w:p>
      <w:pPr>
        <w:pStyle w:val="Heading2"/>
      </w:pPr>
      <w:r>
        <w:t>4.2 The engagement playbook</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fill="0B2545"/>
          </w:tcPr>
          <w:p>
            <w:r/>
            <w:r>
              <w:rPr>
                <w:b/>
                <w:color w:val="FFFFFF"/>
                <w:sz w:val="19"/>
              </w:rPr>
              <w:t>Phase</w:t>
            </w:r>
          </w:p>
        </w:tc>
        <w:tc>
          <w:tcPr>
            <w:tcW w:type="dxa" w:w="1296"/>
            <w:shd w:fill="0B2545"/>
          </w:tcPr>
          <w:p>
            <w:r/>
            <w:r>
              <w:rPr>
                <w:b/>
                <w:color w:val="FFFFFF"/>
                <w:sz w:val="19"/>
              </w:rPr>
              <w:t>Months</w:t>
            </w:r>
          </w:p>
        </w:tc>
        <w:tc>
          <w:tcPr>
            <w:tcW w:type="dxa" w:w="6768"/>
            <w:shd w:fill="0B2545"/>
          </w:tcPr>
          <w:p>
            <w:r/>
            <w:r>
              <w:rPr>
                <w:b/>
                <w:color w:val="FFFFFF"/>
                <w:sz w:val="19"/>
              </w:rPr>
              <w:t>Actions</w:t>
            </w:r>
          </w:p>
        </w:tc>
      </w:tr>
      <w:tr>
        <w:tc>
          <w:tcPr>
            <w:tcW w:type="dxa" w:w="1728"/>
          </w:tcPr>
          <w:p>
            <w:r/>
            <w:r>
              <w:rPr>
                <w:sz w:val="19"/>
              </w:rPr>
              <w:t>1. Underwrite</w:t>
            </w:r>
          </w:p>
        </w:tc>
        <w:tc>
          <w:tcPr>
            <w:tcW w:type="dxa" w:w="1296"/>
          </w:tcPr>
          <w:p>
            <w:r/>
            <w:r>
              <w:rPr>
                <w:sz w:val="19"/>
              </w:rPr>
              <w:t>0–4</w:t>
            </w:r>
          </w:p>
        </w:tc>
        <w:tc>
          <w:tcPr>
            <w:tcW w:type="dxa" w:w="6768"/>
          </w:tcPr>
          <w:p>
            <w:r/>
            <w:r>
              <w:rPr>
                <w:sz w:val="19"/>
              </w:rPr>
              <w:t>PE-grade diligence: full operational benchmark, SOTP, downside case. Thesis must survive an internal “red team” and clear a 30%+ upside to base-case intrinsic value with limited structural downside.</w:t>
            </w:r>
          </w:p>
        </w:tc>
      </w:tr>
      <w:tr>
        <w:tc>
          <w:tcPr>
            <w:tcW w:type="dxa" w:w="1728"/>
            <w:shd w:fill="F2F4F8"/>
          </w:tcPr>
          <w:p>
            <w:r/>
            <w:r>
              <w:rPr>
                <w:sz w:val="19"/>
              </w:rPr>
              <w:t>2. Accumulate</w:t>
            </w:r>
          </w:p>
        </w:tc>
        <w:tc>
          <w:tcPr>
            <w:tcW w:type="dxa" w:w="1296"/>
            <w:shd w:fill="F2F4F8"/>
          </w:tcPr>
          <w:p>
            <w:r/>
            <w:r>
              <w:rPr>
                <w:sz w:val="19"/>
              </w:rPr>
              <w:t>3–9</w:t>
            </w:r>
          </w:p>
        </w:tc>
        <w:tc>
          <w:tcPr>
            <w:tcW w:type="dxa" w:w="6768"/>
            <w:shd w:fill="F2F4F8"/>
          </w:tcPr>
          <w:p>
            <w:r/>
            <w:r>
              <w:rPr>
                <w:sz w:val="19"/>
              </w:rPr>
              <w:t>Build 2–10% via open market and blocks, timed to the board calendar: Q3 ownership snapshots for Nordic nomination committees; nomination windows for US slates. Disclose at thresholds; first private meeting with chair before crossing 5%.</w:t>
            </w:r>
          </w:p>
        </w:tc>
      </w:tr>
      <w:tr>
        <w:tc>
          <w:tcPr>
            <w:tcW w:type="dxa" w:w="1728"/>
          </w:tcPr>
          <w:p>
            <w:r/>
            <w:r>
              <w:rPr>
                <w:sz w:val="19"/>
              </w:rPr>
              <w:t>3. Engage</w:t>
            </w:r>
          </w:p>
        </w:tc>
        <w:tc>
          <w:tcPr>
            <w:tcW w:type="dxa" w:w="1296"/>
          </w:tcPr>
          <w:p>
            <w:r/>
            <w:r>
              <w:rPr>
                <w:sz w:val="19"/>
              </w:rPr>
              <w:t>6–18</w:t>
            </w:r>
          </w:p>
        </w:tc>
        <w:tc>
          <w:tcPr>
            <w:tcW w:type="dxa" w:w="6768"/>
          </w:tcPr>
          <w:p>
            <w:r/>
            <w:r>
              <w:rPr>
                <w:sz w:val="19"/>
              </w:rPr>
              <w:t>Present value plan privately to board and anchor shareholders. Europe: secure nomination-committee seat; propose 1–2 directors from the operating network. US: negotiate board refreshment under credible universal-proxy optionality. Align with index funds and domestic institutions.</w:t>
            </w:r>
          </w:p>
        </w:tc>
      </w:tr>
      <w:tr>
        <w:tc>
          <w:tcPr>
            <w:tcW w:type="dxa" w:w="1728"/>
            <w:shd w:fill="F2F4F8"/>
          </w:tcPr>
          <w:p>
            <w:r/>
            <w:r>
              <w:rPr>
                <w:sz w:val="19"/>
              </w:rPr>
              <w:t>4. Execute</w:t>
            </w:r>
          </w:p>
        </w:tc>
        <w:tc>
          <w:tcPr>
            <w:tcW w:type="dxa" w:w="1296"/>
            <w:shd w:fill="F2F4F8"/>
          </w:tcPr>
          <w:p>
            <w:r/>
            <w:r>
              <w:rPr>
                <w:sz w:val="19"/>
              </w:rPr>
              <w:t>12–36</w:t>
            </w:r>
          </w:p>
        </w:tc>
        <w:tc>
          <w:tcPr>
            <w:tcW w:type="dxa" w:w="6768"/>
            <w:shd w:fill="F2F4F8"/>
          </w:tcPr>
          <w:p>
            <w:r/>
            <w:r>
              <w:rPr>
                <w:sz w:val="19"/>
              </w:rPr>
              <w:t>Board-level sponsorship of the plan: margin program, separation/divestiture, balance-sheet reset, management upgrades where needed. Quarterly milestones tracked against the underwrite.</w:t>
            </w:r>
          </w:p>
        </w:tc>
      </w:tr>
      <w:tr>
        <w:tc>
          <w:tcPr>
            <w:tcW w:type="dxa" w:w="1728"/>
          </w:tcPr>
          <w:p>
            <w:r/>
            <w:r>
              <w:rPr>
                <w:sz w:val="19"/>
              </w:rPr>
              <w:t>5. Realise</w:t>
            </w:r>
          </w:p>
        </w:tc>
        <w:tc>
          <w:tcPr>
            <w:tcW w:type="dxa" w:w="1296"/>
          </w:tcPr>
          <w:p>
            <w:r/>
            <w:r>
              <w:rPr>
                <w:sz w:val="19"/>
              </w:rPr>
              <w:t>24–48</w:t>
            </w:r>
          </w:p>
        </w:tc>
        <w:tc>
          <w:tcPr>
            <w:tcW w:type="dxa" w:w="6768"/>
          </w:tcPr>
          <w:p>
            <w:r/>
            <w:r>
              <w:rPr>
                <w:sz w:val="19"/>
              </w:rPr>
              <w:t>Exit into re-rating, strategic sale, or — where compelling and conflict-cleared — a take-private led by Nordic Capital's buyout funds with the position rolled or cashed at a premium.</w:t>
            </w:r>
          </w:p>
        </w:tc>
      </w:tr>
    </w:tbl>
    <w:p/>
    <w:p>
      <w:pPr>
        <w:pStyle w:val="Heading2"/>
      </w:pPr>
      <w:r>
        <w:t>4.3 Three thesis archetypes</w:t>
      </w:r>
    </w:p>
    <w:p>
      <w:pPr>
        <w:pStyle w:val="ListBullet"/>
        <w:spacing w:after="80"/>
      </w:pPr>
      <w:r>
        <w:rPr>
          <w:b/>
        </w:rPr>
        <w:t xml:space="preserve">Margin-gap operators (est. 40–50% of book). </w:t>
      </w:r>
      <w:r>
        <w:t>Quality franchises running 300–600bps below achievable margins due to execution, supply chain or quality-system issues. Value plan: operational program with board-level accountability.</w:t>
      </w:r>
    </w:p>
    <w:p>
      <w:pPr>
        <w:pStyle w:val="ListBullet"/>
        <w:spacing w:after="80"/>
      </w:pPr>
      <w:r>
        <w:rPr>
          <w:b/>
        </w:rPr>
        <w:t xml:space="preserve">Conglomerate &amp; SOTP discounts (est. 30–40%). </w:t>
      </w:r>
      <w:r>
        <w:t>Multi-division companies where separation, divestiture or monetisation of hidden assets (stakes, real estate, infrastructure) unlocks 30–60% upside. Plays directly to record M&amp;A-activism demand and to Nordic Capital's carve-out expertise.</w:t>
      </w:r>
    </w:p>
    <w:p>
      <w:pPr>
        <w:pStyle w:val="ListBullet"/>
        <w:spacing w:after="80"/>
      </w:pPr>
      <w:r>
        <w:rPr>
          <w:b/>
        </w:rPr>
        <w:t xml:space="preserve">Capital-allocation &amp; strategic-catalyst situations (est. 15–25%). </w:t>
      </w:r>
      <w:r>
        <w:t>Lazy balance sheets, value-destructive M&amp;A patterns, or companies that should initiate or accept strategic processes. Often overlaps with the first two archetypes.</w:t>
      </w:r>
    </w:p>
    <w:p>
      <w:pPr>
        <w:pStyle w:val="Heading2"/>
      </w:pPr>
      <w:r>
        <w:t>4.4 What we will not do</w:t>
      </w:r>
    </w:p>
    <w:p>
      <w:pPr>
        <w:pStyle w:val="ListBullet"/>
        <w:spacing w:after="80"/>
      </w:pPr>
      <w:r>
        <w:t>No hostile public campaigns as an opening move; escalation requires Investment Committee approval and a reputational review.</w:t>
      </w:r>
    </w:p>
    <w:p>
      <w:pPr>
        <w:pStyle w:val="ListBullet"/>
        <w:spacing w:after="80"/>
      </w:pPr>
      <w:r>
        <w:t>No positions inside controlled spheres where the controller is unwilling to engage (screened out at underwrite).</w:t>
      </w:r>
    </w:p>
    <w:p>
      <w:pPr>
        <w:pStyle w:val="ListBullet"/>
        <w:spacing w:after="80"/>
      </w:pPr>
      <w:r>
        <w:t>No shorting of engagement targets; no activist short selling under the Nordic Capital brand.</w:t>
      </w:r>
    </w:p>
    <w:p>
      <w:pPr>
        <w:pStyle w:val="ListBullet"/>
        <w:spacing w:after="80"/>
      </w:pPr>
      <w:r>
        <w:t>No more than two concurrent campaigns in their public-escalation phase.</w:t>
      </w:r>
    </w:p>
    <w:p>
      <w:r>
        <w:br w:type="page"/>
      </w:r>
    </w:p>
    <w:p>
      <w:pPr>
        <w:pStyle w:val="Heading1"/>
      </w:pPr>
      <w:r>
        <w:t>5. Focus Areas</w:t>
      </w:r>
    </w:p>
    <w:p>
      <w:r>
        <w:rPr>
          <w:b w:val="0"/>
          <w:i w:val="0"/>
        </w:rPr>
        <w:t>Sector focus mirrors the firm's private equity franchises, applied across both regions; geography follows the sector opportunity rather than a quota: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fill="0B2545"/>
          </w:tcPr>
          <w:p>
            <w:r/>
            <w:r>
              <w:rPr>
                <w:b/>
                <w:color w:val="FFFFFF"/>
                <w:sz w:val="19"/>
              </w:rPr>
              <w:t>Sector</w:t>
            </w:r>
          </w:p>
        </w:tc>
        <w:tc>
          <w:tcPr>
            <w:tcW w:type="dxa" w:w="1296"/>
            <w:shd w:fill="0B2545"/>
          </w:tcPr>
          <w:p>
            <w:r/>
            <w:r>
              <w:rPr>
                <w:b/>
                <w:color w:val="FFFFFF"/>
                <w:sz w:val="19"/>
              </w:rPr>
              <w:t>Indicative weight</w:t>
            </w:r>
          </w:p>
        </w:tc>
        <w:tc>
          <w:tcPr>
            <w:tcW w:type="dxa" w:w="3168"/>
            <w:shd w:fill="0B2545"/>
          </w:tcPr>
          <w:p>
            <w:r/>
            <w:r>
              <w:rPr>
                <w:b/>
                <w:color w:val="FFFFFF"/>
                <w:sz w:val="19"/>
              </w:rPr>
              <w:t>Why</w:t>
            </w:r>
          </w:p>
        </w:tc>
        <w:tc>
          <w:tcPr>
            <w:tcW w:type="dxa" w:w="3312"/>
            <w:shd w:fill="0B2545"/>
          </w:tcPr>
          <w:p>
            <w:r/>
            <w:r>
              <w:rPr>
                <w:b/>
                <w:color w:val="FFFFFF"/>
                <w:sz w:val="19"/>
              </w:rPr>
              <w:t>Illustrative listed universe (US &amp; EU)</w:t>
            </w:r>
          </w:p>
        </w:tc>
      </w:tr>
      <w:tr>
        <w:tc>
          <w:tcPr>
            <w:tcW w:type="dxa" w:w="2016"/>
          </w:tcPr>
          <w:p>
            <w:r/>
            <w:r>
              <w:rPr>
                <w:sz w:val="19"/>
              </w:rPr>
              <w:t>Healthcare &amp; MedTech</w:t>
            </w:r>
          </w:p>
        </w:tc>
        <w:tc>
          <w:tcPr>
            <w:tcW w:type="dxa" w:w="1296"/>
          </w:tcPr>
          <w:p>
            <w:r/>
            <w:r>
              <w:rPr>
                <w:sz w:val="19"/>
              </w:rPr>
              <w:t>30–40%</w:t>
            </w:r>
          </w:p>
        </w:tc>
        <w:tc>
          <w:tcPr>
            <w:tcW w:type="dxa" w:w="3168"/>
          </w:tcPr>
          <w:p>
            <w:r/>
            <w:r>
              <w:rPr>
                <w:sz w:val="19"/>
              </w:rPr>
              <w:t>Nordic Capital's deepest franchise; on both continents, quality medtech franchises sit in margin or execution repair at deep discounts.</w:t>
            </w:r>
          </w:p>
        </w:tc>
        <w:tc>
          <w:tcPr>
            <w:tcW w:type="dxa" w:w="3312"/>
          </w:tcPr>
          <w:p>
            <w:r/>
            <w:r>
              <w:rPr>
                <w:sz w:val="19"/>
              </w:rPr>
              <w:t>Elekta, Smith+Nephew, Philips, Getinge, GN Store Nord / Baxter, Zimmer Biomet, Teleflex, Henry Schein</w:t>
            </w:r>
          </w:p>
        </w:tc>
      </w:tr>
      <w:tr>
        <w:tc>
          <w:tcPr>
            <w:tcW w:type="dxa" w:w="2016"/>
            <w:shd w:fill="F2F4F8"/>
          </w:tcPr>
          <w:p>
            <w:r/>
            <w:r>
              <w:rPr>
                <w:sz w:val="19"/>
              </w:rPr>
              <w:t>Industrials &amp; Business Services</w:t>
            </w:r>
          </w:p>
        </w:tc>
        <w:tc>
          <w:tcPr>
            <w:tcW w:type="dxa" w:w="1296"/>
            <w:shd w:fill="F2F4F8"/>
          </w:tcPr>
          <w:p>
            <w:r/>
            <w:r>
              <w:rPr>
                <w:sz w:val="19"/>
              </w:rPr>
              <w:t>25–35%</w:t>
            </w:r>
          </w:p>
        </w:tc>
        <w:tc>
          <w:tcPr>
            <w:tcW w:type="dxa" w:w="3168"/>
            <w:shd w:fill="F2F4F8"/>
          </w:tcPr>
          <w:p>
            <w:r/>
            <w:r>
              <w:rPr>
                <w:sz w:val="19"/>
              </w:rPr>
              <w:t>Largest segment of the listed universe; rich in conglomerate discounts, separations and self-help stories.</w:t>
            </w:r>
          </w:p>
        </w:tc>
        <w:tc>
          <w:tcPr>
            <w:tcW w:type="dxa" w:w="3312"/>
            <w:shd w:fill="F2F4F8"/>
          </w:tcPr>
          <w:p>
            <w:r/>
            <w:r>
              <w:rPr>
                <w:sz w:val="19"/>
              </w:rPr>
              <w:t>Orkla, SKF, Dometic, ISS, Valmet / mid-cap US multi-industry and services names in separation or margin repair</w:t>
            </w:r>
          </w:p>
        </w:tc>
      </w:tr>
      <w:tr>
        <w:tc>
          <w:tcPr>
            <w:tcW w:type="dxa" w:w="2016"/>
          </w:tcPr>
          <w:p>
            <w:r/>
            <w:r>
              <w:rPr>
                <w:sz w:val="19"/>
              </w:rPr>
              <w:t>Technology, Software &amp; Payments</w:t>
            </w:r>
          </w:p>
        </w:tc>
        <w:tc>
          <w:tcPr>
            <w:tcW w:type="dxa" w:w="1296"/>
          </w:tcPr>
          <w:p>
            <w:r/>
            <w:r>
              <w:rPr>
                <w:sz w:val="19"/>
              </w:rPr>
              <w:t>15–25%</w:t>
            </w:r>
          </w:p>
        </w:tc>
        <w:tc>
          <w:tcPr>
            <w:tcW w:type="dxa" w:w="3168"/>
          </w:tcPr>
          <w:p>
            <w:r/>
            <w:r>
              <w:rPr>
                <w:sz w:val="19"/>
              </w:rPr>
              <w:t>Post-2021 de-ratings left quality software, IT-services and payments assets at private-market discounts; consolidation logic is strong.</w:t>
            </w:r>
          </w:p>
        </w:tc>
        <w:tc>
          <w:tcPr>
            <w:tcW w:type="dxa" w:w="3312"/>
          </w:tcPr>
          <w:p>
            <w:r/>
            <w:r>
              <w:rPr>
                <w:sz w:val="19"/>
              </w:rPr>
              <w:t>Tieto, Nexi-linked European payment assets / Global Payments, Fiserv-class de-rated US payments and vertical software</w:t>
            </w:r>
          </w:p>
        </w:tc>
      </w:tr>
      <w:tr>
        <w:tc>
          <w:tcPr>
            <w:tcW w:type="dxa" w:w="2016"/>
            <w:shd w:fill="F2F4F8"/>
          </w:tcPr>
          <w:p>
            <w:r/>
            <w:r>
              <w:rPr>
                <w:sz w:val="19"/>
              </w:rPr>
              <w:t>Financial Services</w:t>
            </w:r>
          </w:p>
        </w:tc>
        <w:tc>
          <w:tcPr>
            <w:tcW w:type="dxa" w:w="1296"/>
            <w:shd w:fill="F2F4F8"/>
          </w:tcPr>
          <w:p>
            <w:r/>
            <w:r>
              <w:rPr>
                <w:sz w:val="19"/>
              </w:rPr>
              <w:t>10–20%</w:t>
            </w:r>
          </w:p>
        </w:tc>
        <w:tc>
          <w:tcPr>
            <w:tcW w:type="dxa" w:w="3168"/>
            <w:shd w:fill="F2F4F8"/>
          </w:tcPr>
          <w:p>
            <w:r/>
            <w:r>
              <w:rPr>
                <w:sz w:val="19"/>
              </w:rPr>
              <w:t>Specialty finance, insurance and savings platforms with capital-return and consolidation angles.</w:t>
            </w:r>
          </w:p>
        </w:tc>
        <w:tc>
          <w:tcPr>
            <w:tcW w:type="dxa" w:w="3312"/>
            <w:shd w:fill="F2F4F8"/>
          </w:tcPr>
          <w:p>
            <w:r/>
            <w:r>
              <w:rPr>
                <w:sz w:val="19"/>
              </w:rPr>
              <w:t>Storebrand, European specialty lenders / US specialty insurers and savings platforms</w:t>
            </w:r>
          </w:p>
        </w:tc>
      </w:tr>
    </w:tbl>
    <w:p/>
    <w:p>
      <w:r>
        <w:rPr>
          <w:b w:val="0"/>
          <w:i w:val="0"/>
        </w:rPr>
        <w:t>Geographic spread: Europe 50–60% of the book — of which the Nordics 20–30% (home-field mechanics, deepest networks), UK/Benelux/DACH the balance — and the United States 40–50% (deepest and most liquid activism market; universal proxy regime). Single-name limits apply uniformly; FX hedged to the fund's USD base.</w:t>
      </w:r>
    </w:p>
    <w:p>
      <w:pPr>
        <w:pStyle w:val="Heading1"/>
      </w:pPr>
      <w:r>
        <w:t>6. Target Universe &amp; Screening</w:t>
      </w:r>
    </w:p>
    <w:p>
      <w:pPr>
        <w:pStyle w:val="ListBullet"/>
        <w:spacing w:after="80"/>
      </w:pPr>
      <w:r>
        <w:rPr>
          <w:b/>
        </w:rPr>
        <w:t xml:space="preserve">Universe: </w:t>
      </w:r>
      <w:r>
        <w:t>US and European listed companies in the firm's four core sectors; ~1,300 names in the USD 2–15bn band after liquidity screens (roughly 55% US, 45% Europe).</w:t>
      </w:r>
    </w:p>
    <w:p>
      <w:pPr>
        <w:pStyle w:val="ListBullet"/>
        <w:spacing w:after="80"/>
      </w:pPr>
      <w:r>
        <w:rPr>
          <w:b/>
        </w:rPr>
        <w:t xml:space="preserve">Screen 1 — Quality: </w:t>
      </w:r>
      <w:r>
        <w:t>defensible market position, structurally sound gross margins, identifiable best-in-class peer set. (~300 names survive.)</w:t>
      </w:r>
    </w:p>
    <w:p>
      <w:pPr>
        <w:pStyle w:val="ListBullet"/>
        <w:spacing w:after="80"/>
      </w:pPr>
      <w:r>
        <w:rPr>
          <w:b/>
        </w:rPr>
        <w:t xml:space="preserve">Screen 2 — Value gap: </w:t>
      </w:r>
      <w:r>
        <w:t>&gt;30% upside to intrinsic value on normalised margins or SOTP. (~80–100 names.)</w:t>
      </w:r>
    </w:p>
    <w:p>
      <w:pPr>
        <w:pStyle w:val="ListBullet"/>
        <w:spacing w:after="80"/>
      </w:pPr>
      <w:r>
        <w:rPr>
          <w:b/>
        </w:rPr>
        <w:t xml:space="preserve">Screen 3 — Path to influence: </w:t>
      </w:r>
      <w:r>
        <w:t>register structure permitting an influential stake — nomination-committee relevance in Europe, credible universal-proxy optionality in the US; no blocking holder hostile to change; no poison-pill or staggered-board structure that defeats the thesis timeline. (~40 names.)</w:t>
      </w:r>
    </w:p>
    <w:p>
      <w:pPr>
        <w:pStyle w:val="ListBullet"/>
        <w:spacing w:after="80"/>
      </w:pPr>
      <w:r>
        <w:rPr>
          <w:b/>
        </w:rPr>
        <w:t xml:space="preserve">Screen 4 — Conflict check: </w:t>
      </w:r>
      <w:r>
        <w:t>no MNPI contamination from current PE processes; cleared by compliance before any accumulation. (Live pipeline: 12–16 names, of which 6–8 funded.)</w:t>
      </w:r>
    </w:p>
    <w:p>
      <w:r>
        <w:rPr>
          <w:b w:val="0"/>
          <w:i w:val="0"/>
        </w:rPr>
        <w:t>A USD 1.5bn book across 6–8 core positions implies USD 180–280m per position — i.e., 4–10% of a USD 3–6bn European mid-cap, or 2–5% of a USD 5–15bn US company, both sufficient for board-level influence under the respective regimes.</w:t>
      </w:r>
    </w:p>
    <w:p>
      <w:r>
        <w:br w:type="page"/>
      </w:r>
    </w:p>
    <w:p>
      <w:pPr>
        <w:pStyle w:val="Heading1"/>
      </w:pPr>
      <w:r>
        <w:t>7. Illustrative Pipeline (Public Information Only)</w:t>
      </w:r>
    </w:p>
    <w:p>
      <w:r>
        <w:rPr>
          <w:b w:val="0"/>
          <w:i/>
        </w:rPr>
        <w:t>The following six situations illustrate the strategy's archetypes using publicly available information as of early/mid 2026. They are illustrations for discussion, not recommendations, and would each require full underwriting and conflict clearance.</w:t>
      </w:r>
    </w:p>
    <w:p>
      <w:pPr>
        <w:pStyle w:val="Heading2"/>
      </w:pPr>
      <w:r>
        <w:t>7.1 Elekta (Sweden — MedTech) — Margin-gap operator</w:t>
      </w:r>
    </w:p>
    <w:p>
      <w:pPr>
        <w:pStyle w:val="ListBullet"/>
        <w:spacing w:after="80"/>
      </w:pPr>
      <w:r>
        <w:t>Global #2 in radiation oncology, a structurally growing oligopoly, yet the stock has de-rated dramatically; third-party fair-value estimates have placed the discount at ~50%+ at points in 2026. FY2025/26 adjusted EBIT margin of ~12% versus mid-to-high-teens at Siemens Healthineers' Varian — a gap attributable to supply chain, order execution and mix, not market position.</w:t>
      </w:r>
    </w:p>
    <w:p>
      <w:pPr>
        <w:pStyle w:val="ListBullet"/>
        <w:spacing w:after="80"/>
      </w:pPr>
      <w:r>
        <w:t>Value plan: board-sponsored margin program, order-to-revenue execution reset, service-revenue acceleration; strategic optionality given medtech consolidation logic. Home-field engagement via the Swedish nomination-committee system.</w:t>
      </w:r>
    </w:p>
    <w:p>
      <w:pPr>
        <w:pStyle w:val="Heading2"/>
      </w:pPr>
      <w:r>
        <w:t>7.2 Smith+Nephew (UK — MedTech) — Margin gap &amp; structural options</w:t>
      </w:r>
    </w:p>
    <w:p>
      <w:pPr>
        <w:pStyle w:val="ListBullet"/>
        <w:spacing w:after="80"/>
      </w:pPr>
      <w:r>
        <w:t>Quality orthopaedics/sports-medicine/wound franchise that has lagged peers on margin and execution for years; an established engagement situation (Cevian on the register since 2024) validating the value gap, with the turnaround only partly delivered.</w:t>
      </w:r>
    </w:p>
    <w:p>
      <w:pPr>
        <w:pStyle w:val="ListBullet"/>
        <w:spacing w:after="80"/>
      </w:pPr>
      <w:r>
        <w:t>Value plan: hold the board to peer-level margins; evaluate structural options including separation of underperforming franchises and a US listing review — a live debate where a second credible engaged owner can be decisive.</w:t>
      </w:r>
    </w:p>
    <w:p>
      <w:pPr>
        <w:pStyle w:val="Heading2"/>
      </w:pPr>
      <w:r>
        <w:t>7.3 Philips (Netherlands — HealthTech) — Recovery &amp; SOTP</w:t>
      </w:r>
    </w:p>
    <w:p>
      <w:pPr>
        <w:pStyle w:val="ListBullet"/>
        <w:spacing w:after="80"/>
      </w:pPr>
      <w:r>
        <w:t>Global healthtech franchise emerging from the Respironics recall era (US litigation settled), with margins still well below pre-crisis levels and peers; anchor shareholder (Exor) already on the register demonstrates openness to engaged owners.</w:t>
      </w:r>
    </w:p>
    <w:p>
      <w:pPr>
        <w:pStyle w:val="ListBullet"/>
        <w:spacing w:after="80"/>
      </w:pPr>
      <w:r>
        <w:t>Value plan: margin normalisation with board accountability; portfolio review of Personal Health versus the healthcare core — a separation long argued by analysts that would force the SOTP into the price.</w:t>
      </w:r>
    </w:p>
    <w:p>
      <w:pPr>
        <w:pStyle w:val="Heading2"/>
      </w:pPr>
      <w:r>
        <w:t>7.4 Baxter International (US — MedTech) — Completing the simplification</w:t>
      </w:r>
    </w:p>
    <w:p>
      <w:pPr>
        <w:pStyle w:val="ListBullet"/>
        <w:spacing w:after="80"/>
      </w:pPr>
      <w:r>
        <w:t>Multi-year portfolio simplification already in motion (BioPharma Solutions sold; Vantive kidney-care divested to Carlyle in early 2025), yet the equity has continued to de-rate amid execution stumbles and a CEO transition — a fallen angel trading far below medtech peer multiples.</w:t>
      </w:r>
    </w:p>
    <w:p>
      <w:pPr>
        <w:pStyle w:val="ListBullet"/>
        <w:spacing w:after="80"/>
      </w:pPr>
      <w:r>
        <w:t>Value plan: finish the job — complete the separation program, reset the cost base of the remaining core, refresh the board, and apply divestiture proceeds to a disciplined capital-return framework. Classic universal-proxy-era US engagement.</w:t>
      </w:r>
    </w:p>
    <w:p>
      <w:pPr>
        <w:pStyle w:val="Heading2"/>
      </w:pPr>
      <w:r>
        <w:t>7.5 Global Payments (US — Payments) — Capital allocation &amp; credibility reset</w:t>
      </w:r>
    </w:p>
    <w:p>
      <w:pPr>
        <w:pStyle w:val="ListBullet"/>
        <w:spacing w:after="80"/>
      </w:pPr>
      <w:r>
        <w:t>Scaled merchant-acquiring franchise trading at a deeply depressed multiple after the poorly received 2025 Worldpay/Issuer Solutions restructuring; activist interest has been publicly reported, underscoring the value gap.</w:t>
      </w:r>
    </w:p>
    <w:p>
      <w:pPr>
        <w:pStyle w:val="ListBullet"/>
        <w:spacing w:after="80"/>
      </w:pPr>
      <w:r>
        <w:t>Value plan: integration milestones with board-level accountability, divestiture of non-core assets, binding capital-return commitments post-deleveraging, and board refreshment with payments operating expertise — squarely within Nordic Capital's payments franchise (Nets/Nexi heritage).</w:t>
      </w:r>
    </w:p>
    <w:p>
      <w:pPr>
        <w:pStyle w:val="Heading2"/>
      </w:pPr>
      <w:r>
        <w:t>7.6 Zimmer Biomet (US — MedTech) — Capital-allocation catalyst</w:t>
      </w:r>
    </w:p>
    <w:p>
      <w:pPr>
        <w:pStyle w:val="ListBullet"/>
        <w:spacing w:after="80"/>
      </w:pPr>
      <w:r>
        <w:t>Orthopaedics leader compounding modestly but trading at a structurally depressed multiple, with investor confidence eroded by guidance resets and M&amp;A choices.</w:t>
      </w:r>
    </w:p>
    <w:p>
      <w:pPr>
        <w:pStyle w:val="ListBullet"/>
        <w:spacing w:after="80"/>
      </w:pPr>
      <w:r>
        <w:t>Value plan: capital-allocation framework (organic investment and buybacks over dilutive M&amp;A), portfolio pruning of subscale adjacencies, and margin program toward peer levels.</w:t>
      </w:r>
    </w:p>
    <w:p>
      <w:r>
        <w:rPr>
          <w:b w:val="0"/>
          <w:i/>
        </w:rPr>
        <w:t>Watchlist (further candidates surviving Screens 1–3): Europe — Getinge, GN Store Nord, Orkla, Tieto, Demant, Securitas (self-help largely delivered — a model of the re-rating we underwrite), ISS, Valmet, Storebrand. US — Teleflex (separation announced), Henry Schein, Fiserv, mid-cap specialty insurers.</w:t>
      </w:r>
    </w:p>
    <w:p>
      <w:r>
        <w:br w:type="page"/>
      </w:r>
    </w:p>
    <w:p>
      <w:pPr>
        <w:pStyle w:val="Heading1"/>
      </w:pPr>
      <w:r>
        <w:t>8. Vehicle, Size &amp; Terms</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fill="0B2545"/>
          </w:tcPr>
          <w:p>
            <w:r/>
            <w:r>
              <w:rPr>
                <w:b/>
                <w:color w:val="FFFFFF"/>
                <w:sz w:val="19"/>
              </w:rPr>
              <w:t>Parameter</w:t>
            </w:r>
          </w:p>
        </w:tc>
        <w:tc>
          <w:tcPr>
            <w:tcW w:type="dxa" w:w="3744"/>
            <w:shd w:fill="0B2545"/>
          </w:tcPr>
          <w:p>
            <w:r/>
            <w:r>
              <w:rPr>
                <w:b/>
                <w:color w:val="FFFFFF"/>
                <w:sz w:val="19"/>
              </w:rPr>
              <w:t>Recommendation</w:t>
            </w:r>
          </w:p>
        </w:tc>
        <w:tc>
          <w:tcPr>
            <w:tcW w:type="dxa" w:w="4176"/>
            <w:shd w:fill="0B2545"/>
          </w:tcPr>
          <w:p>
            <w:r/>
            <w:r>
              <w:rPr>
                <w:b/>
                <w:color w:val="FFFFFF"/>
                <w:sz w:val="19"/>
              </w:rPr>
              <w:t>Rationale</w:t>
            </w:r>
          </w:p>
        </w:tc>
      </w:tr>
      <w:tr>
        <w:tc>
          <w:tcPr>
            <w:tcW w:type="dxa" w:w="1872"/>
          </w:tcPr>
          <w:p>
            <w:r/>
            <w:r>
              <w:rPr>
                <w:sz w:val="19"/>
              </w:rPr>
              <w:t>Target size</w:t>
            </w:r>
          </w:p>
        </w:tc>
        <w:tc>
          <w:tcPr>
            <w:tcW w:type="dxa" w:w="3744"/>
          </w:tcPr>
          <w:p>
            <w:r/>
            <w:r>
              <w:rPr>
                <w:sz w:val="19"/>
              </w:rPr>
              <w:t>USD 1.5bn (hard cap USD 2.0bn)</w:t>
            </w:r>
          </w:p>
        </w:tc>
        <w:tc>
          <w:tcPr>
            <w:tcW w:type="dxa" w:w="4176"/>
          </w:tcPr>
          <w:p>
            <w:r/>
            <w:r>
              <w:rPr>
                <w:sz w:val="19"/>
              </w:rPr>
              <w:t>Sized to the USD 2–15bn transatlantic mid-cap band: large enough for 6–8 influential stakes, small enough to stay in the under-fished segment and exit without market impact.</w:t>
            </w:r>
          </w:p>
        </w:tc>
      </w:tr>
      <w:tr>
        <w:tc>
          <w:tcPr>
            <w:tcW w:type="dxa" w:w="1872"/>
            <w:shd w:fill="F2F4F8"/>
          </w:tcPr>
          <w:p>
            <w:r/>
            <w:r>
              <w:rPr>
                <w:sz w:val="19"/>
              </w:rPr>
              <w:t>Structure</w:t>
            </w:r>
          </w:p>
        </w:tc>
        <w:tc>
          <w:tcPr>
            <w:tcW w:type="dxa" w:w="3744"/>
            <w:shd w:fill="F2F4F8"/>
          </w:tcPr>
          <w:p>
            <w:r/>
            <w:r>
              <w:rPr>
                <w:sz w:val="19"/>
              </w:rPr>
              <w:t>Luxembourg RAIF (AIFMD), evergreen with 3-year soft lock, quarterly liquidity thereafter with 25% investor-level gates</w:t>
            </w:r>
          </w:p>
        </w:tc>
        <w:tc>
          <w:tcPr>
            <w:tcW w:type="dxa" w:w="4176"/>
            <w:shd w:fill="F2F4F8"/>
          </w:tcPr>
          <w:p>
            <w:r/>
            <w:r>
              <w:rPr>
                <w:sz w:val="19"/>
              </w:rPr>
              <w:t>Engagement horizons of 2–4 years require patient capital; evergreen structure matches Cevian-model precedent and LP expectations for the asset class.</w:t>
            </w:r>
          </w:p>
        </w:tc>
      </w:tr>
      <w:tr>
        <w:tc>
          <w:tcPr>
            <w:tcW w:type="dxa" w:w="1872"/>
          </w:tcPr>
          <w:p>
            <w:r/>
            <w:r>
              <w:rPr>
                <w:sz w:val="19"/>
              </w:rPr>
              <w:t>GP commitment</w:t>
            </w:r>
          </w:p>
        </w:tc>
        <w:tc>
          <w:tcPr>
            <w:tcW w:type="dxa" w:w="3744"/>
          </w:tcPr>
          <w:p>
            <w:r/>
            <w:r>
              <w:rPr>
                <w:sz w:val="19"/>
              </w:rPr>
              <w:t>EUR 150–200m (balance sheet + partners/employees)</w:t>
            </w:r>
          </w:p>
        </w:tc>
        <w:tc>
          <w:tcPr>
            <w:tcW w:type="dxa" w:w="4176"/>
          </w:tcPr>
          <w:p>
            <w:r/>
            <w:r>
              <w:rPr>
                <w:sz w:val="19"/>
              </w:rPr>
              <w:t>Anchors alignment; signals conviction to LPs and to target boards.</w:t>
            </w:r>
          </w:p>
        </w:tc>
      </w:tr>
      <w:tr>
        <w:tc>
          <w:tcPr>
            <w:tcW w:type="dxa" w:w="1872"/>
            <w:shd w:fill="F2F4F8"/>
          </w:tcPr>
          <w:p>
            <w:r/>
            <w:r>
              <w:rPr>
                <w:sz w:val="19"/>
              </w:rPr>
              <w:t>Management fee</w:t>
            </w:r>
          </w:p>
        </w:tc>
        <w:tc>
          <w:tcPr>
            <w:tcW w:type="dxa" w:w="3744"/>
            <w:shd w:fill="F2F4F8"/>
          </w:tcPr>
          <w:p>
            <w:r/>
            <w:r>
              <w:rPr>
                <w:sz w:val="19"/>
              </w:rPr>
              <w:t>1.25–1.50% on NAV</w:t>
            </w:r>
          </w:p>
        </w:tc>
        <w:tc>
          <w:tcPr>
            <w:tcW w:type="dxa" w:w="4176"/>
            <w:shd w:fill="F2F4F8"/>
          </w:tcPr>
          <w:p>
            <w:r/>
            <w:r>
              <w:rPr>
                <w:sz w:val="19"/>
              </w:rPr>
              <w:t>Mid-cap engaged-equity market standard.</w:t>
            </w:r>
          </w:p>
        </w:tc>
      </w:tr>
      <w:tr>
        <w:tc>
          <w:tcPr>
            <w:tcW w:type="dxa" w:w="1872"/>
          </w:tcPr>
          <w:p>
            <w:r/>
            <w:r>
              <w:rPr>
                <w:sz w:val="19"/>
              </w:rPr>
              <w:t>Performance fee</w:t>
            </w:r>
          </w:p>
        </w:tc>
        <w:tc>
          <w:tcPr>
            <w:tcW w:type="dxa" w:w="3744"/>
          </w:tcPr>
          <w:p>
            <w:r/>
            <w:r>
              <w:rPr>
                <w:sz w:val="19"/>
              </w:rPr>
              <w:t>17.5% over the higher of a 50/50 S&amp;P 500 / MSCI Europe blend + 200bps and a 5% absolute hurdle; 3-year crystallisation; high-water mark</w:t>
            </w:r>
          </w:p>
        </w:tc>
        <w:tc>
          <w:tcPr>
            <w:tcW w:type="dxa" w:w="4176"/>
          </w:tcPr>
          <w:p>
            <w:r/>
            <w:r>
              <w:rPr>
                <w:sz w:val="19"/>
              </w:rPr>
              <w:t>Pays only for engagement alpha, not beta; long crystallisation matches the campaign cycle.</w:t>
            </w:r>
          </w:p>
        </w:tc>
      </w:tr>
      <w:tr>
        <w:tc>
          <w:tcPr>
            <w:tcW w:type="dxa" w:w="1872"/>
            <w:shd w:fill="F2F4F8"/>
          </w:tcPr>
          <w:p>
            <w:r/>
            <w:r>
              <w:rPr>
                <w:sz w:val="19"/>
              </w:rPr>
              <w:t>Concentration limits</w:t>
            </w:r>
          </w:p>
        </w:tc>
        <w:tc>
          <w:tcPr>
            <w:tcW w:type="dxa" w:w="3744"/>
            <w:shd w:fill="F2F4F8"/>
          </w:tcPr>
          <w:p>
            <w:r/>
            <w:r>
              <w:rPr>
                <w:sz w:val="19"/>
              </w:rPr>
              <w:t>Max 25% NAV per position at cost; max 35% at market; max 2 concurrent public-escalation campaigns</w:t>
            </w:r>
          </w:p>
        </w:tc>
        <w:tc>
          <w:tcPr>
            <w:tcW w:type="dxa" w:w="4176"/>
            <w:shd w:fill="F2F4F8"/>
          </w:tcPr>
          <w:p>
            <w:r/>
            <w:r>
              <w:rPr>
                <w:sz w:val="19"/>
              </w:rPr>
              <w:t>Concentration is the strategy, but single-name risk is capped.</w:t>
            </w:r>
          </w:p>
        </w:tc>
      </w:tr>
      <w:tr>
        <w:tc>
          <w:tcPr>
            <w:tcW w:type="dxa" w:w="1872"/>
          </w:tcPr>
          <w:p>
            <w:r/>
            <w:r>
              <w:rPr>
                <w:sz w:val="19"/>
              </w:rPr>
              <w:t>Side capacity</w:t>
            </w:r>
          </w:p>
        </w:tc>
        <w:tc>
          <w:tcPr>
            <w:tcW w:type="dxa" w:w="3744"/>
          </w:tcPr>
          <w:p>
            <w:r/>
            <w:r>
              <w:rPr>
                <w:sz w:val="19"/>
              </w:rPr>
              <w:t>Co-investment sleeves for oversized situations and take-private bridges</w:t>
            </w:r>
          </w:p>
        </w:tc>
        <w:tc>
          <w:tcPr>
            <w:tcW w:type="dxa" w:w="4176"/>
          </w:tcPr>
          <w:p>
            <w:r/>
            <w:r>
              <w:rPr>
                <w:sz w:val="19"/>
              </w:rPr>
              <w:t>Lets the fund punch above its weight on the best ideas without breaching limits.</w:t>
            </w:r>
          </w:p>
        </w:tc>
      </w:tr>
      <w:tr>
        <w:tc>
          <w:tcPr>
            <w:tcW w:type="dxa" w:w="1872"/>
            <w:shd w:fill="F2F4F8"/>
          </w:tcPr>
          <w:p>
            <w:r/>
            <w:r>
              <w:rPr>
                <w:sz w:val="19"/>
              </w:rPr>
              <w:t>Target returns</w:t>
            </w:r>
          </w:p>
        </w:tc>
        <w:tc>
          <w:tcPr>
            <w:tcW w:type="dxa" w:w="3744"/>
            <w:shd w:fill="F2F4F8"/>
          </w:tcPr>
          <w:p>
            <w:r/>
            <w:r>
              <w:rPr>
                <w:sz w:val="19"/>
              </w:rPr>
              <w:t>15%+ net IRR over a cycle; expected realised volatility below index due to engagement catalysts and entry discounts</w:t>
            </w:r>
          </w:p>
        </w:tc>
        <w:tc>
          <w:tcPr>
            <w:tcW w:type="dxa" w:w="4176"/>
            <w:shd w:fill="F2F4F8"/>
          </w:tcPr>
          <w:p>
            <w:r/>
            <w:r>
              <w:rPr>
                <w:sz w:val="19"/>
              </w:rPr>
              <w:t>Consistent with the realised economics of the leading Nordic engagement practitioner over two decades.</w:t>
            </w:r>
          </w:p>
        </w:tc>
      </w:tr>
    </w:tbl>
    <w:p/>
    <w:p>
      <w:pPr>
        <w:pStyle w:val="Heading2"/>
      </w:pPr>
      <w:r>
        <w:t>8.1 Market exposure: hedged or unhedged?</w:t>
      </w:r>
    </w:p>
    <w:p>
      <w:r>
        <w:rPr>
          <w:b w:val="0"/>
          <w:i w:val="0"/>
        </w:rPr>
        <w:t>A deliberate design choice with real economics attached. Three models were considered:</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fill="0B2545"/>
          </w:tcPr>
          <w:p>
            <w:r/>
            <w:r>
              <w:rPr>
                <w:b/>
                <w:color w:val="FFFFFF"/>
                <w:sz w:val="19"/>
              </w:rPr>
              <w:t>Model</w:t>
            </w:r>
          </w:p>
        </w:tc>
        <w:tc>
          <w:tcPr>
            <w:tcW w:type="dxa" w:w="3744"/>
            <w:shd w:fill="0B2545"/>
          </w:tcPr>
          <w:p>
            <w:r/>
            <w:r>
              <w:rPr>
                <w:b/>
                <w:color w:val="FFFFFF"/>
                <w:sz w:val="19"/>
              </w:rPr>
              <w:t>Mechanics</w:t>
            </w:r>
          </w:p>
        </w:tc>
        <w:tc>
          <w:tcPr>
            <w:tcW w:type="dxa" w:w="3600"/>
            <w:shd w:fill="0B2545"/>
          </w:tcPr>
          <w:p>
            <w:r/>
            <w:r>
              <w:rPr>
                <w:b/>
                <w:color w:val="FFFFFF"/>
                <w:sz w:val="19"/>
              </w:rPr>
              <w:t>Assessment</w:t>
            </w:r>
          </w:p>
        </w:tc>
      </w:tr>
      <w:tr>
        <w:tc>
          <w:tcPr>
            <w:tcW w:type="dxa" w:w="2448"/>
          </w:tcPr>
          <w:p>
            <w:r/>
            <w:r>
              <w:rPr>
                <w:sz w:val="19"/>
              </w:rPr>
              <w:t>Long-only, unhedged (Cevian model)</w:t>
            </w:r>
          </w:p>
        </w:tc>
        <w:tc>
          <w:tcPr>
            <w:tcW w:type="dxa" w:w="3744"/>
          </w:tcPr>
          <w:p>
            <w:r/>
            <w:r>
              <w:rPr>
                <w:sz w:val="19"/>
              </w:rPr>
              <w:t>Net exposure ~100%; returns = market beta + engagement alpha.</w:t>
            </w:r>
          </w:p>
        </w:tc>
        <w:tc>
          <w:tcPr>
            <w:tcW w:type="dxa" w:w="3600"/>
          </w:tcPr>
          <w:p>
            <w:r/>
            <w:r>
              <w:rPr>
                <w:sz w:val="19"/>
              </w:rPr>
              <w:t>Simple, cheap, matches LP expectations for engaged equity. Full drawdown participation in risk-off years; campaign mid-life is exposed.</w:t>
            </w:r>
          </w:p>
        </w:tc>
      </w:tr>
      <w:tr>
        <w:tc>
          <w:tcPr>
            <w:tcW w:type="dxa" w:w="2448"/>
            <w:shd w:fill="F2F4F8"/>
          </w:tcPr>
          <w:p>
            <w:r/>
            <w:r>
              <w:rPr>
                <w:sz w:val="19"/>
              </w:rPr>
              <w:t>Long with tactical beta overlay (recommended)</w:t>
            </w:r>
          </w:p>
        </w:tc>
        <w:tc>
          <w:tcPr>
            <w:tcW w:type="dxa" w:w="3744"/>
            <w:shd w:fill="F2F4F8"/>
          </w:tcPr>
          <w:p>
            <w:r/>
            <w:r>
              <w:rPr>
                <w:sz w:val="19"/>
              </w:rPr>
              <w:t>Net exposure 80–100% by default; IC may hedge up to ~30% of NAV notionally via index futures/options under defined stress triggers; FX systematically hedged to USD.</w:t>
            </w:r>
          </w:p>
        </w:tc>
        <w:tc>
          <w:tcPr>
            <w:tcW w:type="dxa" w:w="3600"/>
            <w:shd w:fill="F2F4F8"/>
          </w:tcPr>
          <w:p>
            <w:r/>
            <w:r>
              <w:rPr>
                <w:sz w:val="19"/>
              </w:rPr>
              <w:t>Keeps the equity risk premium and the catalyst optionality, but caps tail drawdowns cheaply at portfolio level — practical for a 6–8 name book where idiosyncratic risk dominates anyway.</w:t>
            </w:r>
          </w:p>
        </w:tc>
      </w:tr>
      <w:tr>
        <w:tc>
          <w:tcPr>
            <w:tcW w:type="dxa" w:w="2448"/>
          </w:tcPr>
          <w:p>
            <w:r/>
            <w:r>
              <w:rPr>
                <w:sz w:val="19"/>
              </w:rPr>
              <w:t>Market-neutral activist (hedge-fund model)</w:t>
            </w:r>
          </w:p>
        </w:tc>
        <w:tc>
          <w:tcPr>
            <w:tcW w:type="dxa" w:w="3744"/>
          </w:tcPr>
          <w:p>
            <w:r/>
            <w:r>
              <w:rPr>
                <w:sz w:val="19"/>
              </w:rPr>
              <w:t>Permanent index/sector shorts isolate campaign alpha; net exposure ~0–30%.</w:t>
            </w:r>
          </w:p>
        </w:tc>
        <w:tc>
          <w:tcPr>
            <w:tcW w:type="dxa" w:w="3600"/>
          </w:tcPr>
          <w:p>
            <w:r/>
            <w:r>
              <w:rPr>
                <w:sz w:val="19"/>
              </w:rPr>
              <w:t>Rejected: 150–300bps annual hedge drag compounds against multi-year campaign horizons; sector shorts in concentrated books add basis risk, not protection; and a structural short book sits awkwardly with a constructive, board-seat brand.</w:t>
            </w:r>
          </w:p>
        </w:tc>
      </w:tr>
    </w:tbl>
    <w:p/>
    <w:p>
      <w:pPr>
        <w:pStyle w:val="ListBullet"/>
        <w:spacing w:after="80"/>
      </w:pPr>
      <w:r>
        <w:rPr>
          <w:b/>
        </w:rPr>
        <w:t xml:space="preserve">Recommendation: </w:t>
      </w:r>
      <w:r>
        <w:t>run the book predominantly unhedged (net 80–100%), with a tactical index-hedge overlay at Investment Committee discretion — pre-defined triggers (drawdown thresholds, spread of book value-gap vs market), capped at ~30% of NAV, implemented in liquid index futures and options only.</w:t>
      </w:r>
    </w:p>
    <w:p>
      <w:pPr>
        <w:pStyle w:val="ListBullet"/>
        <w:spacing w:after="80"/>
      </w:pPr>
      <w:r>
        <w:rPr>
          <w:b/>
        </w:rPr>
        <w:t xml:space="preserve">Never single-name shorts. </w:t>
      </w:r>
      <w:r>
        <w:t>No shorting of engagement targets or their peers — the conflict, disclosure and reputational costs outweigh any hedging value; this is also an explicit LP-facing commitment (Section 4.4).</w:t>
      </w:r>
    </w:p>
    <w:p>
      <w:pPr>
        <w:pStyle w:val="ListBullet"/>
        <w:spacing w:after="80"/>
      </w:pPr>
      <w:r>
        <w:rPr>
          <w:b/>
        </w:rPr>
        <w:t xml:space="preserve">Currency: </w:t>
      </w:r>
      <w:r>
        <w:t>USD base; SEK/EUR/GBP/CHF/DKK exposures systematically hedged at the share-class level so LP returns reflect engagement outcomes, not FX.</w:t>
      </w:r>
    </w:p>
    <w:p>
      <w:pPr>
        <w:pStyle w:val="ListBullet"/>
        <w:spacing w:after="80"/>
      </w:pPr>
      <w:r>
        <w:rPr>
          <w:b/>
        </w:rPr>
        <w:t xml:space="preserve">Why this is the right trade: </w:t>
      </w:r>
      <w:r>
        <w:t>the strategy's alpha is idiosyncratic and catalyst-driven; entry discounts of 30%+ are the primary downside protection. Paying a permanent hedge premium to neutralise the beta LPs are deliberately buying would lower net returns ~2–3% p.a. for protection the evergreen structure (3-year lock, gates) already provides against forced selling.</w:t>
      </w:r>
    </w:p>
    <w:p>
      <w:pPr>
        <w:pStyle w:val="Heading1"/>
      </w:pPr>
      <w:r>
        <w:t>9. Team &amp; Organisation</w:t>
      </w:r>
    </w:p>
    <w:p>
      <w:r>
        <w:rPr>
          <w:b w:val="0"/>
          <w:i w:val="0"/>
        </w:rPr>
        <w:t>A deliberately small, senior team of 11–13 at launch, split between Stockholm and New York, structured for PE-grade underwriting and board-level engagement in both regimes:</w:t>
      </w:r>
    </w:p>
    <w:tbl>
      <w:tblPr>
        <w:tblStyle w:val="TableGrid"/>
        <w:tblW w:type="auto" w:w="0"/>
        <w:jc w:val="center"/>
        <w:tblLook w:firstColumn="1" w:firstRow="1" w:lastColumn="0" w:lastRow="0" w:noHBand="0" w:noVBand="1" w:val="04A0"/>
      </w:tblPr>
      <w:tblGrid>
        <w:gridCol w:w="2880"/>
        <w:gridCol w:w="2880"/>
        <w:gridCol w:w="2880"/>
      </w:tblGrid>
      <w:tr>
        <w:tc>
          <w:tcPr>
            <w:tcW w:type="dxa" w:w="3024"/>
            <w:shd w:fill="0B2545"/>
          </w:tcPr>
          <w:p>
            <w:r/>
            <w:r>
              <w:rPr>
                <w:b/>
                <w:color w:val="FFFFFF"/>
                <w:sz w:val="19"/>
              </w:rPr>
              <w:t>Role</w:t>
            </w:r>
          </w:p>
        </w:tc>
        <w:tc>
          <w:tcPr>
            <w:tcW w:type="dxa" w:w="576"/>
            <w:shd w:fill="0B2545"/>
          </w:tcPr>
          <w:p>
            <w:r/>
            <w:r>
              <w:rPr>
                <w:b/>
                <w:color w:val="FFFFFF"/>
                <w:sz w:val="19"/>
              </w:rPr>
              <w:t>#</w:t>
            </w:r>
          </w:p>
        </w:tc>
        <w:tc>
          <w:tcPr>
            <w:tcW w:type="dxa" w:w="6192"/>
            <w:shd w:fill="0B2545"/>
          </w:tcPr>
          <w:p>
            <w:r/>
            <w:r>
              <w:rPr>
                <w:b/>
                <w:color w:val="FFFFFF"/>
                <w:sz w:val="19"/>
              </w:rPr>
              <w:t>Profile</w:t>
            </w:r>
          </w:p>
        </w:tc>
      </w:tr>
      <w:tr>
        <w:tc>
          <w:tcPr>
            <w:tcW w:type="dxa" w:w="3024"/>
          </w:tcPr>
          <w:p>
            <w:r/>
            <w:r>
              <w:rPr>
                <w:sz w:val="19"/>
              </w:rPr>
              <w:t>Head of Engaged Equities (Partner)</w:t>
            </w:r>
          </w:p>
        </w:tc>
        <w:tc>
          <w:tcPr>
            <w:tcW w:type="dxa" w:w="576"/>
          </w:tcPr>
          <w:p>
            <w:r/>
            <w:r>
              <w:rPr>
                <w:sz w:val="19"/>
              </w:rPr>
              <w:t>1</w:t>
            </w:r>
          </w:p>
        </w:tc>
        <w:tc>
          <w:tcPr>
            <w:tcW w:type="dxa" w:w="6192"/>
          </w:tcPr>
          <w:p>
            <w:r/>
            <w:r>
              <w:rPr>
                <w:sz w:val="19"/>
              </w:rPr>
              <w:t>Senior hire with 15+ years in engaged/activist investing (Cevian, European activist franchise, or top-tier event-driven background) plus board credibility. Sits on Nordic Capital's Executive Committee; co-PM with the Deputy. Based Stockholm.</w:t>
            </w:r>
          </w:p>
        </w:tc>
      </w:tr>
      <w:tr>
        <w:tc>
          <w:tcPr>
            <w:tcW w:type="dxa" w:w="3024"/>
            <w:shd w:fill="F2F4F8"/>
          </w:tcPr>
          <w:p>
            <w:r/>
            <w:r>
              <w:rPr>
                <w:sz w:val="19"/>
              </w:rPr>
              <w:t>Deputy PM / Head of Research</w:t>
            </w:r>
          </w:p>
        </w:tc>
        <w:tc>
          <w:tcPr>
            <w:tcW w:type="dxa" w:w="576"/>
            <w:shd w:fill="F2F4F8"/>
          </w:tcPr>
          <w:p>
            <w:r/>
            <w:r>
              <w:rPr>
                <w:sz w:val="19"/>
              </w:rPr>
              <w:t>1</w:t>
            </w:r>
          </w:p>
        </w:tc>
        <w:tc>
          <w:tcPr>
            <w:tcW w:type="dxa" w:w="6192"/>
            <w:shd w:fill="F2F4F8"/>
          </w:tcPr>
          <w:p>
            <w:r/>
            <w:r>
              <w:rPr>
                <w:sz w:val="19"/>
              </w:rPr>
              <w:t>Internal transfer or hire; owns underwriting standards and the red-team process.</w:t>
            </w:r>
          </w:p>
        </w:tc>
      </w:tr>
      <w:tr>
        <w:tc>
          <w:tcPr>
            <w:tcW w:type="dxa" w:w="3024"/>
          </w:tcPr>
          <w:p>
            <w:r/>
            <w:r>
              <w:rPr>
                <w:sz w:val="19"/>
              </w:rPr>
              <w:t>Principal — US Situations &amp; Campaign Strategy: Knut Nyman</w:t>
            </w:r>
          </w:p>
        </w:tc>
        <w:tc>
          <w:tcPr>
            <w:tcW w:type="dxa" w:w="576"/>
          </w:tcPr>
          <w:p>
            <w:r/>
            <w:r>
              <w:rPr>
                <w:sz w:val="19"/>
              </w:rPr>
              <w:t>1</w:t>
            </w:r>
          </w:p>
        </w:tc>
        <w:tc>
          <w:tcPr>
            <w:tcW w:type="dxa" w:w="6192"/>
          </w:tcPr>
          <w:p>
            <w:r/>
            <w:r>
              <w:rPr>
                <w:sz w:val="19"/>
              </w:rPr>
              <w:t>Founding hire from Elliott Investment Management. Owns the US side of the book: idea generation and underwriting for US names, the universal-proxy campaign playbook, and the US advisor network. Based New York. See 9.1 below.</w:t>
            </w:r>
          </w:p>
        </w:tc>
      </w:tr>
      <w:tr>
        <w:tc>
          <w:tcPr>
            <w:tcW w:type="dxa" w:w="3024"/>
            <w:shd w:fill="F2F4F8"/>
          </w:tcPr>
          <w:p>
            <w:r/>
            <w:r>
              <w:rPr>
                <w:sz w:val="19"/>
              </w:rPr>
              <w:t>Sector Principals</w:t>
            </w:r>
          </w:p>
        </w:tc>
        <w:tc>
          <w:tcPr>
            <w:tcW w:type="dxa" w:w="576"/>
            <w:shd w:fill="F2F4F8"/>
          </w:tcPr>
          <w:p>
            <w:r/>
            <w:r>
              <w:rPr>
                <w:sz w:val="19"/>
              </w:rPr>
              <w:t>2</w:t>
            </w:r>
          </w:p>
        </w:tc>
        <w:tc>
          <w:tcPr>
            <w:tcW w:type="dxa" w:w="6192"/>
            <w:shd w:fill="F2F4F8"/>
          </w:tcPr>
          <w:p>
            <w:r/>
            <w:r>
              <w:rPr>
                <w:sz w:val="19"/>
              </w:rPr>
              <w:t>Healthcare/MedTech and Industrials/Technology; principal-level, each capable of leading a campaign end-to-end. One based in each region.</w:t>
            </w:r>
          </w:p>
        </w:tc>
      </w:tr>
      <w:tr>
        <w:tc>
          <w:tcPr>
            <w:tcW w:type="dxa" w:w="3024"/>
          </w:tcPr>
          <w:p>
            <w:r/>
            <w:r>
              <w:rPr>
                <w:sz w:val="19"/>
              </w:rPr>
              <w:t>Investment professionals</w:t>
            </w:r>
          </w:p>
        </w:tc>
        <w:tc>
          <w:tcPr>
            <w:tcW w:type="dxa" w:w="576"/>
          </w:tcPr>
          <w:p>
            <w:r/>
            <w:r>
              <w:rPr>
                <w:sz w:val="19"/>
              </w:rPr>
              <w:t>4–5</w:t>
            </w:r>
          </w:p>
        </w:tc>
        <w:tc>
          <w:tcPr>
            <w:tcW w:type="dxa" w:w="6192"/>
          </w:tcPr>
          <w:p>
            <w:r/>
            <w:r>
              <w:rPr>
                <w:sz w:val="19"/>
              </w:rPr>
              <w:t>Associate/VP level; modelling, register analytics, peer benchmarking. Mix of PE, equity research and special-situations backgrounds; split across offices.</w:t>
            </w:r>
          </w:p>
        </w:tc>
      </w:tr>
      <w:tr>
        <w:tc>
          <w:tcPr>
            <w:tcW w:type="dxa" w:w="3024"/>
            <w:shd w:fill="F2F4F8"/>
          </w:tcPr>
          <w:p>
            <w:r/>
            <w:r>
              <w:rPr>
                <w:sz w:val="19"/>
              </w:rPr>
              <w:t>Head of Stewardship &amp; Governance</w:t>
            </w:r>
          </w:p>
        </w:tc>
        <w:tc>
          <w:tcPr>
            <w:tcW w:type="dxa" w:w="576"/>
            <w:shd w:fill="F2F4F8"/>
          </w:tcPr>
          <w:p>
            <w:r/>
            <w:r>
              <w:rPr>
                <w:sz w:val="19"/>
              </w:rPr>
              <w:t>1</w:t>
            </w:r>
          </w:p>
        </w:tc>
        <w:tc>
          <w:tcPr>
            <w:tcW w:type="dxa" w:w="6192"/>
            <w:shd w:fill="F2F4F8"/>
          </w:tcPr>
          <w:p>
            <w:r/>
            <w:r>
              <w:rPr>
                <w:sz w:val="19"/>
              </w:rPr>
              <w:t>Drives nomination-committee work in Europe, director sourcing from the operating-advisor bench, proxy strategy and engagement documentation.</w:t>
            </w:r>
          </w:p>
        </w:tc>
      </w:tr>
      <w:tr>
        <w:tc>
          <w:tcPr>
            <w:tcW w:type="dxa" w:w="3024"/>
          </w:tcPr>
          <w:p>
            <w:r/>
            <w:r>
              <w:rPr>
                <w:sz w:val="19"/>
              </w:rPr>
              <w:t>Dedicated Compliance Officer</w:t>
            </w:r>
          </w:p>
        </w:tc>
        <w:tc>
          <w:tcPr>
            <w:tcW w:type="dxa" w:w="576"/>
          </w:tcPr>
          <w:p>
            <w:r/>
            <w:r>
              <w:rPr>
                <w:sz w:val="19"/>
              </w:rPr>
              <w:t>1</w:t>
            </w:r>
          </w:p>
        </w:tc>
        <w:tc>
          <w:tcPr>
            <w:tcW w:type="dxa" w:w="6192"/>
          </w:tcPr>
          <w:p>
            <w:r/>
            <w:r>
              <w:rPr>
                <w:sz w:val="19"/>
              </w:rPr>
              <w:t>Owns the information barrier with the PE business; reports to Group GC, not to the PM.</w:t>
            </w:r>
          </w:p>
        </w:tc>
      </w:tr>
      <w:tr>
        <w:tc>
          <w:tcPr>
            <w:tcW w:type="dxa" w:w="3024"/>
            <w:shd w:fill="F2F4F8"/>
          </w:tcPr>
          <w:p>
            <w:r/>
            <w:r>
              <w:rPr>
                <w:sz w:val="19"/>
              </w:rPr>
              <w:t>COO/IR (shared with platform)</w:t>
            </w:r>
          </w:p>
        </w:tc>
        <w:tc>
          <w:tcPr>
            <w:tcW w:type="dxa" w:w="576"/>
            <w:shd w:fill="F2F4F8"/>
          </w:tcPr>
          <w:p>
            <w:r/>
            <w:r>
              <w:rPr>
                <w:sz w:val="19"/>
              </w:rPr>
              <w:t>0.5</w:t>
            </w:r>
          </w:p>
        </w:tc>
        <w:tc>
          <w:tcPr>
            <w:tcW w:type="dxa" w:w="6192"/>
            <w:shd w:fill="F2F4F8"/>
          </w:tcPr>
          <w:p>
            <w:r/>
            <w:r>
              <w:rPr>
                <w:sz w:val="19"/>
              </w:rPr>
              <w:t>Fund operations, LP reporting, co-investment execution.</w:t>
            </w:r>
          </w:p>
        </w:tc>
      </w:tr>
    </w:tbl>
    <w:p/>
    <w:p>
      <w:pPr>
        <w:pStyle w:val="Heading2"/>
      </w:pPr>
      <w:r>
        <w:t>9.1 Knut Nyman — Principal, US Situations &amp; Campaign Strategy</w:t>
      </w:r>
    </w:p>
    <w:p>
      <w:r>
        <w:rPr>
          <w:b w:val="0"/>
          <w:i w:val="0"/>
        </w:rPr>
        <w:t>The US half of the mandate requires someone who has run the modern US activism playbook from inside the most effective practitioner of it. Knut Nyman joins from Elliott Investment Management as a founding member of the investment team, with the following mandate:</w:t>
      </w:r>
    </w:p>
    <w:p>
      <w:pPr>
        <w:pStyle w:val="ListBullet"/>
        <w:spacing w:after="80"/>
      </w:pPr>
      <w:r>
        <w:rPr>
          <w:b/>
        </w:rPr>
        <w:t xml:space="preserve">US idea generation and underwriting. </w:t>
      </w:r>
      <w:r>
        <w:t>Owns the US screen (Section 6) and presents US situations to the Investment Committee; leads diligence on US names alongside the sector principals.</w:t>
      </w:r>
    </w:p>
    <w:p>
      <w:pPr>
        <w:pStyle w:val="ListBullet"/>
        <w:spacing w:after="80"/>
      </w:pPr>
      <w:r>
        <w:rPr>
          <w:b/>
        </w:rPr>
        <w:t xml:space="preserve">Campaign strategy. </w:t>
      </w:r>
      <w:r>
        <w:t>Designs and runs the US engagement mechanics: 13D strategy and disclosure sequencing, universal-proxy slate construction, settlement negotiation, and coordination of proxy solicitors, banks, litigation counsel and communications advisors.</w:t>
      </w:r>
    </w:p>
    <w:p>
      <w:pPr>
        <w:pStyle w:val="ListBullet"/>
        <w:spacing w:after="80"/>
      </w:pPr>
      <w:r>
        <w:rPr>
          <w:b/>
        </w:rPr>
        <w:t xml:space="preserve">Bridge between regimes. </w:t>
      </w:r>
      <w:r>
        <w:t>Translates the firm's constructive European model into US board dynamics — and brings US-style campaign rigour (precision materials, shareholder-base analytics, settlement optionality) to the European book.</w:t>
      </w:r>
    </w:p>
    <w:p>
      <w:pPr>
        <w:pStyle w:val="ListBullet"/>
        <w:spacing w:after="80"/>
      </w:pPr>
      <w:r>
        <w:rPr>
          <w:b/>
        </w:rPr>
        <w:t xml:space="preserve">Progression. </w:t>
      </w:r>
      <w:r>
        <w:t>Co-leads one to two campaigns per year from launch, with campaign lead responsibility from the second fund year and a defined path to Partner; participates in management-company carry from day one.</w:t>
      </w:r>
    </w:p>
    <w:p>
      <w:pPr>
        <w:pStyle w:val="Heading2"/>
      </w:pPr>
      <w:r>
        <w:t>9.2 Governance &amp; conflicts framework (the make-or-break design issue)</w:t>
      </w:r>
    </w:p>
    <w:p>
      <w:pPr>
        <w:pStyle w:val="ListBullet"/>
        <w:spacing w:after="80"/>
      </w:pPr>
      <w:r>
        <w:rPr>
          <w:b/>
        </w:rPr>
        <w:t xml:space="preserve">Information barrier: </w:t>
      </w:r>
      <w:r>
        <w:t>the public-equities team sits outside the PE deal-flow perimeter; no access to live PE process information; restricted-list screening before any accumulation; wall-crossing only via documented GC approval.</w:t>
      </w:r>
    </w:p>
    <w:p>
      <w:pPr>
        <w:pStyle w:val="ListBullet"/>
        <w:spacing w:after="80"/>
      </w:pPr>
      <w:r>
        <w:rPr>
          <w:b/>
        </w:rPr>
        <w:t xml:space="preserve">Take-private protocol: </w:t>
      </w:r>
      <w:r>
        <w:t>if a portfolio position becomes a buyout-fund target, the public fund's participation/exit is governed by a pre-agreed, LPAC-disclosed protocol (independent pricing, optional roll or cash-out, conflicted-party abstentions).</w:t>
      </w:r>
    </w:p>
    <w:p>
      <w:pPr>
        <w:pStyle w:val="ListBullet"/>
        <w:spacing w:after="80"/>
      </w:pPr>
      <w:r>
        <w:rPr>
          <w:b/>
        </w:rPr>
        <w:t xml:space="preserve">Reputation committee: </w:t>
      </w:r>
      <w:r>
        <w:t>any public escalation, media engagement or EGM requisition requires sign-off from a committee including the Managing Partner — the firm's 30-year brand is the strategy's key asset and is governed accordingly.</w:t>
      </w:r>
    </w:p>
    <w:p>
      <w:pPr>
        <w:pStyle w:val="ListBullet"/>
        <w:spacing w:after="80"/>
      </w:pPr>
      <w:r>
        <w:rPr>
          <w:b/>
        </w:rPr>
        <w:t xml:space="preserve">Investment Committee: </w:t>
      </w:r>
      <w:r>
        <w:t>Head of Engaged Equities, Deputy PM, Principal — US Situations (for US names), one PE Partner (conflict-cleared per situation), Managing Partner ex-officio.</w:t>
      </w:r>
    </w:p>
    <w:p>
      <w:r>
        <w:br w:type="page"/>
      </w:r>
    </w:p>
    <w:p>
      <w:pPr>
        <w:pStyle w:val="Heading1"/>
      </w:pPr>
      <w:r>
        <w:t>10. Economics for the Platform</w:t>
      </w:r>
    </w:p>
    <w:p>
      <w:pPr>
        <w:pStyle w:val="ListBullet"/>
        <w:spacing w:after="80"/>
      </w:pPr>
      <w:r>
        <w:t>At USD 1.5bn and 1.375% blended management fee: ~USD 20m annual fee revenue against a ~USD 12–14m steady-state cost base — accretive from year two even before performance fees.</w:t>
      </w:r>
    </w:p>
    <w:p>
      <w:pPr>
        <w:pStyle w:val="ListBullet"/>
        <w:spacing w:after="80"/>
      </w:pPr>
      <w:r>
        <w:t>At 15% gross portfolio return, performance fees of ~USD 30–35m per crystallisation cycle at target size.</w:t>
      </w:r>
    </w:p>
    <w:p>
      <w:pPr>
        <w:pStyle w:val="ListBullet"/>
        <w:spacing w:after="80"/>
      </w:pPr>
      <w:r>
        <w:t>Strategic P&amp;L is larger than the direct P&amp;L: one incremental take-private sourced through the public strategy, or one carve-out acquired by the flagship funds, likely exceeds the vehicle's annual fee income in value to the platform.</w:t>
      </w:r>
    </w:p>
    <w:p>
      <w:pPr>
        <w:pStyle w:val="Heading1"/>
      </w:pPr>
      <w:r>
        <w:t>11. Risks &amp; Mitigants</w:t>
      </w:r>
    </w:p>
    <w:tbl>
      <w:tblPr>
        <w:tblStyle w:val="TableGrid"/>
        <w:tblW w:type="auto" w:w="0"/>
        <w:jc w:val="center"/>
        <w:tblLook w:firstColumn="1" w:firstRow="1" w:lastColumn="0" w:lastRow="0" w:noHBand="0" w:noVBand="1" w:val="04A0"/>
      </w:tblPr>
      <w:tblGrid>
        <w:gridCol w:w="4320"/>
        <w:gridCol w:w="4320"/>
      </w:tblGrid>
      <w:tr>
        <w:tc>
          <w:tcPr>
            <w:tcW w:type="dxa" w:w="4320"/>
            <w:shd w:fill="0B2545"/>
          </w:tcPr>
          <w:p>
            <w:r/>
            <w:r>
              <w:rPr>
                <w:b/>
                <w:color w:val="FFFFFF"/>
                <w:sz w:val="19"/>
              </w:rPr>
              <w:t>Risk</w:t>
            </w:r>
          </w:p>
        </w:tc>
        <w:tc>
          <w:tcPr>
            <w:tcW w:type="dxa" w:w="5472"/>
            <w:shd w:fill="0B2545"/>
          </w:tcPr>
          <w:p>
            <w:r/>
            <w:r>
              <w:rPr>
                <w:b/>
                <w:color w:val="FFFFFF"/>
                <w:sz w:val="19"/>
              </w:rPr>
              <w:t>Mitigant</w:t>
            </w:r>
          </w:p>
        </w:tc>
      </w:tr>
      <w:tr>
        <w:tc>
          <w:tcPr>
            <w:tcW w:type="dxa" w:w="4320"/>
          </w:tcPr>
          <w:p>
            <w:r/>
            <w:r>
              <w:rPr>
                <w:sz w:val="19"/>
              </w:rPr>
              <w:t>Reputational spillover to the PE franchise from a contentious campaign</w:t>
            </w:r>
          </w:p>
        </w:tc>
        <w:tc>
          <w:tcPr>
            <w:tcW w:type="dxa" w:w="5472"/>
          </w:tcPr>
          <w:p>
            <w:r/>
            <w:r>
              <w:rPr>
                <w:sz w:val="19"/>
              </w:rPr>
              <w:t>Constructive-first doctrine; reputation committee veto on escalation; no hostile opening moves; Cevian's record shows the model rarely requires public conflict in the Nordics.</w:t>
            </w:r>
          </w:p>
        </w:tc>
      </w:tr>
      <w:tr>
        <w:tc>
          <w:tcPr>
            <w:tcW w:type="dxa" w:w="4320"/>
            <w:shd w:fill="F2F4F8"/>
          </w:tcPr>
          <w:p>
            <w:r/>
            <w:r>
              <w:rPr>
                <w:sz w:val="19"/>
              </w:rPr>
              <w:t>Conflicts / MNPI between public and private strategies</w:t>
            </w:r>
          </w:p>
        </w:tc>
        <w:tc>
          <w:tcPr>
            <w:tcW w:type="dxa" w:w="5472"/>
            <w:shd w:fill="F2F4F8"/>
          </w:tcPr>
          <w:p>
            <w:r/>
            <w:r>
              <w:rPr>
                <w:sz w:val="19"/>
              </w:rPr>
              <w:t>Hard information barrier, dedicated compliance officer, restricted lists, LPAC-disclosed take-private protocol (Section 9.1).</w:t>
            </w:r>
          </w:p>
        </w:tc>
      </w:tr>
      <w:tr>
        <w:tc>
          <w:tcPr>
            <w:tcW w:type="dxa" w:w="4320"/>
          </w:tcPr>
          <w:p>
            <w:r/>
            <w:r>
              <w:rPr>
                <w:sz w:val="19"/>
              </w:rPr>
              <w:t>Sphere control blocks change (dual-class shares, foundations)</w:t>
            </w:r>
          </w:p>
        </w:tc>
        <w:tc>
          <w:tcPr>
            <w:tcW w:type="dxa" w:w="5472"/>
          </w:tcPr>
          <w:p>
            <w:r/>
            <w:r>
              <w:rPr>
                <w:sz w:val="19"/>
              </w:rPr>
              <w:t>Screen 3 excludes hostile-controller situations ex ante; where spheres are present, engage them as allies first.</w:t>
            </w:r>
          </w:p>
        </w:tc>
      </w:tr>
      <w:tr>
        <w:tc>
          <w:tcPr>
            <w:tcW w:type="dxa" w:w="4320"/>
            <w:shd w:fill="F2F4F8"/>
          </w:tcPr>
          <w:p>
            <w:r/>
            <w:r>
              <w:rPr>
                <w:sz w:val="19"/>
              </w:rPr>
              <w:t>Liquidity in European mid-caps (SEK/NOK/DKK/EUR lines thinner than US)</w:t>
            </w:r>
          </w:p>
        </w:tc>
        <w:tc>
          <w:tcPr>
            <w:tcW w:type="dxa" w:w="5472"/>
            <w:shd w:fill="F2F4F8"/>
          </w:tcPr>
          <w:p>
            <w:r/>
            <w:r>
              <w:rPr>
                <w:sz w:val="19"/>
              </w:rPr>
              <w:t>Position sizing tied to ADV; US names carry the larger tickets; evergreen structure with gates; co-invest sleeves absorb size; exits often via strategic events rather than market sales.</w:t>
            </w:r>
          </w:p>
        </w:tc>
      </w:tr>
      <w:tr>
        <w:tc>
          <w:tcPr>
            <w:tcW w:type="dxa" w:w="4320"/>
          </w:tcPr>
          <w:p>
            <w:r/>
            <w:r>
              <w:rPr>
                <w:sz w:val="19"/>
              </w:rPr>
              <w:t>Key-person dependence on the Head of Engaged Equities</w:t>
            </w:r>
          </w:p>
        </w:tc>
        <w:tc>
          <w:tcPr>
            <w:tcW w:type="dxa" w:w="5472"/>
          </w:tcPr>
          <w:p>
            <w:r/>
            <w:r>
              <w:rPr>
                <w:sz w:val="19"/>
              </w:rPr>
              <w:t>Co-PM structure, institutional IC process, equity in the management company.</w:t>
            </w:r>
          </w:p>
        </w:tc>
      </w:tr>
      <w:tr>
        <w:tc>
          <w:tcPr>
            <w:tcW w:type="dxa" w:w="4320"/>
            <w:shd w:fill="F2F4F8"/>
          </w:tcPr>
          <w:p>
            <w:r/>
            <w:r>
              <w:rPr>
                <w:sz w:val="19"/>
              </w:rPr>
              <w:t>Cycle risk: a Nordic downturn delays re-rating</w:t>
            </w:r>
          </w:p>
        </w:tc>
        <w:tc>
          <w:tcPr>
            <w:tcW w:type="dxa" w:w="5472"/>
            <w:shd w:fill="F2F4F8"/>
          </w:tcPr>
          <w:p>
            <w:r/>
            <w:r>
              <w:rPr>
                <w:sz w:val="19"/>
              </w:rPr>
              <w:t>Entry discounts of 30%+ provide margin of safety; engagement catalysts are largely cycle-independent (separations, governance, capital allocation).</w:t>
            </w:r>
          </w:p>
        </w:tc>
      </w:tr>
      <w:tr>
        <w:tc>
          <w:tcPr>
            <w:tcW w:type="dxa" w:w="4320"/>
          </w:tcPr>
          <w:p>
            <w:r/>
            <w:r>
              <w:rPr>
                <w:sz w:val="19"/>
              </w:rPr>
              <w:t>Talent competition (Active Value Partners et al. hiring the same bench)</w:t>
            </w:r>
          </w:p>
        </w:tc>
        <w:tc>
          <w:tcPr>
            <w:tcW w:type="dxa" w:w="5472"/>
          </w:tcPr>
          <w:p>
            <w:r/>
            <w:r>
              <w:rPr>
                <w:sz w:val="19"/>
              </w:rPr>
              <w:t>Move decisively in 2026; Nordic Capital's platform economics and brand beat start-up offers for the right principal-level talent.</w:t>
            </w:r>
          </w:p>
        </w:tc>
      </w:tr>
    </w:tbl>
    <w:p/>
    <w:p>
      <w:pPr>
        <w:pStyle w:val="Heading1"/>
      </w:pPr>
      <w:r>
        <w:t>12. Implementation Roadmap</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0B2545"/>
          </w:tcPr>
          <w:p>
            <w:r/>
            <w:r>
              <w:rPr>
                <w:b/>
                <w:color w:val="FFFFFF"/>
                <w:sz w:val="19"/>
              </w:rPr>
              <w:t>Phase</w:t>
            </w:r>
          </w:p>
        </w:tc>
        <w:tc>
          <w:tcPr>
            <w:tcW w:type="dxa" w:w="2016"/>
            <w:shd w:fill="0B2545"/>
          </w:tcPr>
          <w:p>
            <w:r/>
            <w:r>
              <w:rPr>
                <w:b/>
                <w:color w:val="FFFFFF"/>
                <w:sz w:val="19"/>
              </w:rPr>
              <w:t>Timing</w:t>
            </w:r>
          </w:p>
        </w:tc>
        <w:tc>
          <w:tcPr>
            <w:tcW w:type="dxa" w:w="5616"/>
            <w:shd w:fill="0B2545"/>
          </w:tcPr>
          <w:p>
            <w:r/>
            <w:r>
              <w:rPr>
                <w:b/>
                <w:color w:val="FFFFFF"/>
                <w:sz w:val="19"/>
              </w:rPr>
              <w:t>Milestones</w:t>
            </w:r>
          </w:p>
        </w:tc>
      </w:tr>
      <w:tr>
        <w:tc>
          <w:tcPr>
            <w:tcW w:type="dxa" w:w="2160"/>
          </w:tcPr>
          <w:p>
            <w:r/>
            <w:r>
              <w:rPr>
                <w:sz w:val="19"/>
              </w:rPr>
              <w:t>0. Decision &amp; design</w:t>
            </w:r>
          </w:p>
        </w:tc>
        <w:tc>
          <w:tcPr>
            <w:tcW w:type="dxa" w:w="2016"/>
          </w:tcPr>
          <w:p>
            <w:r/>
            <w:r>
              <w:rPr>
                <w:sz w:val="19"/>
              </w:rPr>
              <w:t>Jul–Sep 2026</w:t>
            </w:r>
          </w:p>
        </w:tc>
        <w:tc>
          <w:tcPr>
            <w:tcW w:type="dxa" w:w="5616"/>
          </w:tcPr>
          <w:p>
            <w:r/>
            <w:r>
              <w:rPr>
                <w:sz w:val="19"/>
              </w:rPr>
              <w:t>Executive Committee approval; conflicts framework drafted with GC; regulatory scoping (Lux RAIF / AIFM passport); search mandate for Head of Engaged Equities.</w:t>
            </w:r>
          </w:p>
        </w:tc>
      </w:tr>
      <w:tr>
        <w:tc>
          <w:tcPr>
            <w:tcW w:type="dxa" w:w="2160"/>
            <w:shd w:fill="F2F4F8"/>
          </w:tcPr>
          <w:p>
            <w:r/>
            <w:r>
              <w:rPr>
                <w:sz w:val="19"/>
              </w:rPr>
              <w:t>1. Build</w:t>
            </w:r>
          </w:p>
        </w:tc>
        <w:tc>
          <w:tcPr>
            <w:tcW w:type="dxa" w:w="2016"/>
            <w:shd w:fill="F2F4F8"/>
          </w:tcPr>
          <w:p>
            <w:r/>
            <w:r>
              <w:rPr>
                <w:sz w:val="19"/>
              </w:rPr>
              <w:t>Oct 2026 – Mar 2027</w:t>
            </w:r>
          </w:p>
        </w:tc>
        <w:tc>
          <w:tcPr>
            <w:tcW w:type="dxa" w:w="5616"/>
            <w:shd w:fill="F2F4F8"/>
          </w:tcPr>
          <w:p>
            <w:r/>
            <w:r>
              <w:rPr>
                <w:sz w:val="19"/>
              </w:rPr>
              <w:t>Head + Deputy hired; Knut Nyman and the New York pod on board; core team of 7; seed commitment EUR 150–200m closed; pipeline of 12–16 underwritten names; LP pre-marketing under existing relationships.</w:t>
            </w:r>
          </w:p>
        </w:tc>
      </w:tr>
      <w:tr>
        <w:tc>
          <w:tcPr>
            <w:tcW w:type="dxa" w:w="2160"/>
          </w:tcPr>
          <w:p>
            <w:r/>
            <w:r>
              <w:rPr>
                <w:sz w:val="19"/>
              </w:rPr>
              <w:t>2. First close &amp; deploy</w:t>
            </w:r>
          </w:p>
        </w:tc>
        <w:tc>
          <w:tcPr>
            <w:tcW w:type="dxa" w:w="2016"/>
          </w:tcPr>
          <w:p>
            <w:r/>
            <w:r>
              <w:rPr>
                <w:sz w:val="19"/>
              </w:rPr>
              <w:t>Apr–Sep 2027</w:t>
            </w:r>
          </w:p>
        </w:tc>
        <w:tc>
          <w:tcPr>
            <w:tcW w:type="dxa" w:w="5616"/>
          </w:tcPr>
          <w:p>
            <w:r/>
            <w:r>
              <w:rPr>
                <w:sz w:val="19"/>
              </w:rPr>
              <w:t>First close ~USD 750m; 2–3 positions accumulated against the board calendar: Q3 2027 ownership snapshots for 2028 Nordic nomination committees, and US nomination windows for the 2028 proxy season.</w:t>
            </w:r>
          </w:p>
        </w:tc>
      </w:tr>
      <w:tr>
        <w:tc>
          <w:tcPr>
            <w:tcW w:type="dxa" w:w="2160"/>
            <w:shd w:fill="F2F4F8"/>
          </w:tcPr>
          <w:p>
            <w:r/>
            <w:r>
              <w:rPr>
                <w:sz w:val="19"/>
              </w:rPr>
              <w:t>3. Scale</w:t>
            </w:r>
          </w:p>
        </w:tc>
        <w:tc>
          <w:tcPr>
            <w:tcW w:type="dxa" w:w="2016"/>
            <w:shd w:fill="F2F4F8"/>
          </w:tcPr>
          <w:p>
            <w:r/>
            <w:r>
              <w:rPr>
                <w:sz w:val="19"/>
              </w:rPr>
              <w:t>Oct 2027 – Dec 2028</w:t>
            </w:r>
          </w:p>
        </w:tc>
        <w:tc>
          <w:tcPr>
            <w:tcW w:type="dxa" w:w="5616"/>
            <w:shd w:fill="F2F4F8"/>
          </w:tcPr>
          <w:p>
            <w:r/>
            <w:r>
              <w:rPr>
                <w:sz w:val="19"/>
              </w:rPr>
              <w:t>Final close USD 1.5–2.0bn; 6–8 positions across both regions; first nomination-committee seats, settlements and director appointments in the 2028 board cycles; first realisation events 2029.</w:t>
            </w:r>
          </w:p>
        </w:tc>
      </w:tr>
    </w:tbl>
    <w:p/>
    <w:p>
      <w:r>
        <w:br w:type="page"/>
      </w:r>
    </w:p>
    <w:p>
      <w:pPr>
        <w:pStyle w:val="Heading1"/>
      </w:pPr>
      <w:r>
        <w:t>Appendix A: Precedent Campaigns — The Evidence Base</w:t>
      </w:r>
    </w:p>
    <w:p>
      <w:r>
        <w:rPr>
          <w:b w:val="0"/>
          <w:i w:val="0"/>
        </w:rPr>
        <w:t>Three bodies of precedent inform the design of this strategy: Cevian's two-decade record (the constructive model works, and its failure modes are identifiable), EQT Public Value (how a PE sponsor's public-markets entry fails without engagement mechanics), and KKR–Henry Schein (sponsor activism validated in the US, in our core sector). Outcomes and return indications below are based on public reporting and are approximate.</w:t>
      </w:r>
    </w:p>
    <w:p>
      <w:pPr>
        <w:pStyle w:val="Heading2"/>
      </w:pPr>
      <w:r>
        <w:t>A.1 Cevian Capital — the constructive model at scale</w:t>
      </w:r>
    </w:p>
    <w:p>
      <w:r>
        <w:rPr>
          <w:b w:val="0"/>
          <w:i w:val="0"/>
        </w:rPr>
        <w:t>Founded 2002 (Gardell/Förberg, early backing from Carl Icahn); peak AUM ~EUR 15bn+; partners currently on nine boards in six countries; reported net returns in the low-to-mid teens annualised over the fund's life. Its disclosed campaign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B2545"/>
          </w:tcPr>
          <w:p>
            <w:r/>
            <w:r>
              <w:rPr>
                <w:b/>
                <w:color w:val="FFFFFF"/>
                <w:sz w:val="19"/>
              </w:rPr>
              <w:t>Company</w:t>
            </w:r>
          </w:p>
        </w:tc>
        <w:tc>
          <w:tcPr>
            <w:tcW w:type="dxa" w:w="1296"/>
            <w:shd w:fill="0B2545"/>
          </w:tcPr>
          <w:p>
            <w:r/>
            <w:r>
              <w:rPr>
                <w:b/>
                <w:color w:val="FFFFFF"/>
                <w:sz w:val="19"/>
              </w:rPr>
              <w:t>Period</w:t>
            </w:r>
          </w:p>
        </w:tc>
        <w:tc>
          <w:tcPr>
            <w:tcW w:type="dxa" w:w="5184"/>
            <w:shd w:fill="0B2545"/>
          </w:tcPr>
          <w:p>
            <w:r/>
            <w:r>
              <w:rPr>
                <w:b/>
                <w:color w:val="FFFFFF"/>
                <w:sz w:val="19"/>
              </w:rPr>
              <w:t>Campaign &amp; outcome</w:t>
            </w:r>
          </w:p>
        </w:tc>
        <w:tc>
          <w:tcPr>
            <w:tcW w:type="dxa" w:w="1152"/>
            <w:shd w:fill="0B2545"/>
          </w:tcPr>
          <w:p>
            <w:r/>
            <w:r>
              <w:rPr>
                <w:b/>
                <w:color w:val="FFFFFF"/>
                <w:sz w:val="19"/>
              </w:rPr>
              <w:t>Result</w:t>
            </w:r>
          </w:p>
        </w:tc>
      </w:tr>
      <w:tr>
        <w:tc>
          <w:tcPr>
            <w:tcW w:type="dxa" w:w="2160"/>
          </w:tcPr>
          <w:p>
            <w:r/>
            <w:r>
              <w:rPr>
                <w:sz w:val="19"/>
              </w:rPr>
              <w:t>Skandia (SE)</w:t>
            </w:r>
          </w:p>
        </w:tc>
        <w:tc>
          <w:tcPr>
            <w:tcW w:type="dxa" w:w="1296"/>
          </w:tcPr>
          <w:p>
            <w:r/>
            <w:r>
              <w:rPr>
                <w:sz w:val="19"/>
              </w:rPr>
              <w:t>2002–06</w:t>
            </w:r>
          </w:p>
        </w:tc>
        <w:tc>
          <w:tcPr>
            <w:tcW w:type="dxa" w:w="5184"/>
          </w:tcPr>
          <w:p>
            <w:r/>
            <w:r>
              <w:rPr>
                <w:sz w:val="19"/>
              </w:rPr>
              <w:t>Governance overhaul, pushed sale; acquired by Old Mutual 2006.</w:t>
            </w:r>
          </w:p>
        </w:tc>
        <w:tc>
          <w:tcPr>
            <w:tcW w:type="dxa" w:w="1152"/>
          </w:tcPr>
          <w:p>
            <w:r/>
            <w:r>
              <w:rPr>
                <w:sz w:val="19"/>
              </w:rPr>
              <w:t>Win</w:t>
            </w:r>
          </w:p>
        </w:tc>
      </w:tr>
      <w:tr>
        <w:tc>
          <w:tcPr>
            <w:tcW w:type="dxa" w:w="2160"/>
            <w:shd w:fill="F2F4F8"/>
          </w:tcPr>
          <w:p>
            <w:r/>
            <w:r>
              <w:rPr>
                <w:sz w:val="19"/>
              </w:rPr>
              <w:t>Volvo Group (SE)</w:t>
            </w:r>
          </w:p>
        </w:tc>
        <w:tc>
          <w:tcPr>
            <w:tcW w:type="dxa" w:w="1296"/>
            <w:shd w:fill="F2F4F8"/>
          </w:tcPr>
          <w:p>
            <w:r/>
            <w:r>
              <w:rPr>
                <w:sz w:val="19"/>
              </w:rPr>
              <w:t>2006–17</w:t>
            </w:r>
          </w:p>
        </w:tc>
        <w:tc>
          <w:tcPr>
            <w:tcW w:type="dxa" w:w="5184"/>
            <w:shd w:fill="F2F4F8"/>
          </w:tcPr>
          <w:p>
            <w:r/>
            <w:r>
              <w:rPr>
                <w:sz w:val="19"/>
              </w:rPr>
              <w:t>Portfolio focus (Aero disposal), cost discipline, governance; 8.2% stake sold to Geely 2017 for ~USD 3.9bn — reported among its most profitable positions.</w:t>
            </w:r>
          </w:p>
        </w:tc>
        <w:tc>
          <w:tcPr>
            <w:tcW w:type="dxa" w:w="1152"/>
            <w:shd w:fill="F2F4F8"/>
          </w:tcPr>
          <w:p>
            <w:r/>
            <w:r>
              <w:rPr>
                <w:sz w:val="19"/>
              </w:rPr>
              <w:t>Win</w:t>
            </w:r>
          </w:p>
        </w:tc>
      </w:tr>
      <w:tr>
        <w:tc>
          <w:tcPr>
            <w:tcW w:type="dxa" w:w="2160"/>
          </w:tcPr>
          <w:p>
            <w:r/>
            <w:r>
              <w:rPr>
                <w:sz w:val="19"/>
              </w:rPr>
              <w:t>Tieto (FI)</w:t>
            </w:r>
          </w:p>
        </w:tc>
        <w:tc>
          <w:tcPr>
            <w:tcW w:type="dxa" w:w="1296"/>
          </w:tcPr>
          <w:p>
            <w:r/>
            <w:r>
              <w:rPr>
                <w:sz w:val="19"/>
              </w:rPr>
              <w:t>2009–c.17</w:t>
            </w:r>
          </w:p>
        </w:tc>
        <w:tc>
          <w:tcPr>
            <w:tcW w:type="dxa" w:w="5184"/>
          </w:tcPr>
          <w:p>
            <w:r/>
            <w:r>
              <w:rPr>
                <w:sz w:val="19"/>
              </w:rPr>
              <w:t>Board seat, restructuring and focus; steady re-rating plus dividends.</w:t>
            </w:r>
          </w:p>
        </w:tc>
        <w:tc>
          <w:tcPr>
            <w:tcW w:type="dxa" w:w="1152"/>
          </w:tcPr>
          <w:p>
            <w:r/>
            <w:r>
              <w:rPr>
                <w:sz w:val="19"/>
              </w:rPr>
              <w:t>Modest win</w:t>
            </w:r>
          </w:p>
        </w:tc>
      </w:tr>
      <w:tr>
        <w:tc>
          <w:tcPr>
            <w:tcW w:type="dxa" w:w="2160"/>
            <w:shd w:fill="F2F4F8"/>
          </w:tcPr>
          <w:p>
            <w:r/>
            <w:r>
              <w:rPr>
                <w:sz w:val="19"/>
              </w:rPr>
              <w:t>Danske Bank (DK)</w:t>
            </w:r>
          </w:p>
        </w:tc>
        <w:tc>
          <w:tcPr>
            <w:tcW w:type="dxa" w:w="1296"/>
            <w:shd w:fill="F2F4F8"/>
          </w:tcPr>
          <w:p>
            <w:r/>
            <w:r>
              <w:rPr>
                <w:sz w:val="19"/>
              </w:rPr>
              <w:t>2011–c.15</w:t>
            </w:r>
          </w:p>
        </w:tc>
        <w:tc>
          <w:tcPr>
            <w:tcW w:type="dxa" w:w="5184"/>
            <w:shd w:fill="F2F4F8"/>
          </w:tcPr>
          <w:p>
            <w:r/>
            <w:r>
              <w:rPr>
                <w:sz w:val="19"/>
              </w:rPr>
              <w:t>Post-crisis efficiency and capital agenda; stock recovered strongly into exit.</w:t>
            </w:r>
          </w:p>
        </w:tc>
        <w:tc>
          <w:tcPr>
            <w:tcW w:type="dxa" w:w="1152"/>
            <w:shd w:fill="F2F4F8"/>
          </w:tcPr>
          <w:p>
            <w:r/>
            <w:r>
              <w:rPr>
                <w:sz w:val="19"/>
              </w:rPr>
              <w:t>Win</w:t>
            </w:r>
          </w:p>
        </w:tc>
      </w:tr>
      <w:tr>
        <w:tc>
          <w:tcPr>
            <w:tcW w:type="dxa" w:w="2160"/>
          </w:tcPr>
          <w:p>
            <w:r/>
            <w:r>
              <w:rPr>
                <w:sz w:val="19"/>
              </w:rPr>
              <w:t>Cookson / Vesuvius &amp; Alent (UK)</w:t>
            </w:r>
          </w:p>
        </w:tc>
        <w:tc>
          <w:tcPr>
            <w:tcW w:type="dxa" w:w="1296"/>
          </w:tcPr>
          <w:p>
            <w:r/>
            <w:r>
              <w:rPr>
                <w:sz w:val="19"/>
              </w:rPr>
              <w:t>2011–c.16</w:t>
            </w:r>
          </w:p>
        </w:tc>
        <w:tc>
          <w:tcPr>
            <w:tcW w:type="dxa" w:w="5184"/>
          </w:tcPr>
          <w:p>
            <w:r/>
            <w:r>
              <w:rPr>
                <w:sz w:val="19"/>
              </w:rPr>
              <w:t>Drove the 2012 demerger; Alent acquired by Platform Specialty 2015 at a premium; Vesuvius board seat.</w:t>
            </w:r>
          </w:p>
        </w:tc>
        <w:tc>
          <w:tcPr>
            <w:tcW w:type="dxa" w:w="1152"/>
          </w:tcPr>
          <w:p>
            <w:r/>
            <w:r>
              <w:rPr>
                <w:sz w:val="19"/>
              </w:rPr>
              <w:t>Win</w:t>
            </w:r>
          </w:p>
        </w:tc>
      </w:tr>
      <w:tr>
        <w:tc>
          <w:tcPr>
            <w:tcW w:type="dxa" w:w="2160"/>
            <w:shd w:fill="F2F4F8"/>
          </w:tcPr>
          <w:p>
            <w:r/>
            <w:r>
              <w:rPr>
                <w:sz w:val="19"/>
              </w:rPr>
              <w:t>Bilfinger (DE)</w:t>
            </w:r>
          </w:p>
        </w:tc>
        <w:tc>
          <w:tcPr>
            <w:tcW w:type="dxa" w:w="1296"/>
            <w:shd w:fill="F2F4F8"/>
          </w:tcPr>
          <w:p>
            <w:r/>
            <w:r>
              <w:rPr>
                <w:sz w:val="19"/>
              </w:rPr>
              <w:t>2011–c.20</w:t>
            </w:r>
          </w:p>
        </w:tc>
        <w:tc>
          <w:tcPr>
            <w:tcW w:type="dxa" w:w="5184"/>
            <w:shd w:fill="F2F4F8"/>
          </w:tcPr>
          <w:p>
            <w:r/>
            <w:r>
              <w:rPr>
                <w:sz w:val="19"/>
              </w:rPr>
              <w:t>Services transformation; instead repeated profit warnings and CEO churn; roughly a decade for little value.</w:t>
            </w:r>
          </w:p>
        </w:tc>
        <w:tc>
          <w:tcPr>
            <w:tcW w:type="dxa" w:w="1152"/>
            <w:shd w:fill="F2F4F8"/>
          </w:tcPr>
          <w:p>
            <w:r/>
            <w:r>
              <w:rPr>
                <w:sz w:val="19"/>
              </w:rPr>
              <w:t>Failure</w:t>
            </w:r>
          </w:p>
        </w:tc>
      </w:tr>
      <w:tr>
        <w:tc>
          <w:tcPr>
            <w:tcW w:type="dxa" w:w="2160"/>
          </w:tcPr>
          <w:p>
            <w:r/>
            <w:r>
              <w:rPr>
                <w:sz w:val="19"/>
              </w:rPr>
              <w:t>ThyssenKrupp (DE)</w:t>
            </w:r>
          </w:p>
        </w:tc>
        <w:tc>
          <w:tcPr>
            <w:tcW w:type="dxa" w:w="1296"/>
          </w:tcPr>
          <w:p>
            <w:r/>
            <w:r>
              <w:rPr>
                <w:sz w:val="19"/>
              </w:rPr>
              <w:t>2013–c.22</w:t>
            </w:r>
          </w:p>
        </w:tc>
        <w:tc>
          <w:tcPr>
            <w:tcW w:type="dxa" w:w="5184"/>
          </w:tcPr>
          <w:p>
            <w:r/>
            <w:r>
              <w:rPr>
                <w:sz w:val="19"/>
              </w:rPr>
              <w:t>18% stake; conglomerate break-up thesis. Elevator sale (EUR 17.2bn, 2020) vindicated the SOTP, but balance-sheet fragility and stakeholder politics destroyed equity value en route; exited at a significant reported loss.</w:t>
            </w:r>
          </w:p>
        </w:tc>
        <w:tc>
          <w:tcPr>
            <w:tcW w:type="dxa" w:w="1152"/>
          </w:tcPr>
          <w:p>
            <w:r/>
            <w:r>
              <w:rPr>
                <w:sz w:val="19"/>
              </w:rPr>
              <w:t>Failure</w:t>
            </w:r>
          </w:p>
        </w:tc>
      </w:tr>
      <w:tr>
        <w:tc>
          <w:tcPr>
            <w:tcW w:type="dxa" w:w="2160"/>
            <w:shd w:fill="F2F4F8"/>
          </w:tcPr>
          <w:p>
            <w:r/>
            <w:r>
              <w:rPr>
                <w:sz w:val="19"/>
              </w:rPr>
              <w:t>RSA Insurance (UK)</w:t>
            </w:r>
          </w:p>
        </w:tc>
        <w:tc>
          <w:tcPr>
            <w:tcW w:type="dxa" w:w="1296"/>
            <w:shd w:fill="F2F4F8"/>
          </w:tcPr>
          <w:p>
            <w:r/>
            <w:r>
              <w:rPr>
                <w:sz w:val="19"/>
              </w:rPr>
              <w:t>2013–21</w:t>
            </w:r>
          </w:p>
        </w:tc>
        <w:tc>
          <w:tcPr>
            <w:tcW w:type="dxa" w:w="5184"/>
            <w:shd w:fill="F2F4F8"/>
          </w:tcPr>
          <w:p>
            <w:r/>
            <w:r>
              <w:rPr>
                <w:sz w:val="19"/>
              </w:rPr>
              <w:t>Focus, disposals, capital discipline, then sale advocacy; Intact/Tryg takeover 2021 at ~50% premium.</w:t>
            </w:r>
          </w:p>
        </w:tc>
        <w:tc>
          <w:tcPr>
            <w:tcW w:type="dxa" w:w="1152"/>
            <w:shd w:fill="F2F4F8"/>
          </w:tcPr>
          <w:p>
            <w:r/>
            <w:r>
              <w:rPr>
                <w:sz w:val="19"/>
              </w:rPr>
              <w:t>Win</w:t>
            </w:r>
          </w:p>
        </w:tc>
      </w:tr>
      <w:tr>
        <w:tc>
          <w:tcPr>
            <w:tcW w:type="dxa" w:w="2160"/>
          </w:tcPr>
          <w:p>
            <w:r/>
            <w:r>
              <w:rPr>
                <w:sz w:val="19"/>
              </w:rPr>
              <w:t>Metso (FI)</w:t>
            </w:r>
          </w:p>
        </w:tc>
        <w:tc>
          <w:tcPr>
            <w:tcW w:type="dxa" w:w="1296"/>
          </w:tcPr>
          <w:p>
            <w:r/>
            <w:r>
              <w:rPr>
                <w:sz w:val="19"/>
              </w:rPr>
              <w:t>2013–20</w:t>
            </w:r>
          </w:p>
        </w:tc>
        <w:tc>
          <w:tcPr>
            <w:tcW w:type="dxa" w:w="5184"/>
          </w:tcPr>
          <w:p>
            <w:r/>
            <w:r>
              <w:rPr>
                <w:sz w:val="19"/>
              </w:rPr>
              <w:t>Supported Valmet demerger, then Metso Outotec merger and Neles separation.</w:t>
            </w:r>
          </w:p>
        </w:tc>
        <w:tc>
          <w:tcPr>
            <w:tcW w:type="dxa" w:w="1152"/>
          </w:tcPr>
          <w:p>
            <w:r/>
            <w:r>
              <w:rPr>
                <w:sz w:val="19"/>
              </w:rPr>
              <w:t>Win</w:t>
            </w:r>
          </w:p>
        </w:tc>
      </w:tr>
      <w:tr>
        <w:tc>
          <w:tcPr>
            <w:tcW w:type="dxa" w:w="2160"/>
            <w:shd w:fill="F2F4F8"/>
          </w:tcPr>
          <w:p>
            <w:r/>
            <w:r>
              <w:rPr>
                <w:sz w:val="19"/>
              </w:rPr>
              <w:t>ABB (CH/SE)</w:t>
            </w:r>
          </w:p>
        </w:tc>
        <w:tc>
          <w:tcPr>
            <w:tcW w:type="dxa" w:w="1296"/>
            <w:shd w:fill="F2F4F8"/>
          </w:tcPr>
          <w:p>
            <w:r/>
            <w:r>
              <w:rPr>
                <w:sz w:val="19"/>
              </w:rPr>
              <w:t>2015–25</w:t>
            </w:r>
          </w:p>
        </w:tc>
        <w:tc>
          <w:tcPr>
            <w:tcW w:type="dxa" w:w="5184"/>
            <w:shd w:fill="F2F4F8"/>
          </w:tcPr>
          <w:p>
            <w:r/>
            <w:r>
              <w:rPr>
                <w:sz w:val="19"/>
              </w:rPr>
              <w:t>Power Grids exit (sold to Hitachi 2020), decentralisation, buybacks, leadership change; long-held position finally sold down in 2025 after a strong multi-year re-rating.</w:t>
            </w:r>
          </w:p>
        </w:tc>
        <w:tc>
          <w:tcPr>
            <w:tcW w:type="dxa" w:w="1152"/>
            <w:shd w:fill="F2F4F8"/>
          </w:tcPr>
          <w:p>
            <w:r/>
            <w:r>
              <w:rPr>
                <w:sz w:val="19"/>
              </w:rPr>
              <w:t>Win (slow)</w:t>
            </w:r>
          </w:p>
        </w:tc>
      </w:tr>
      <w:tr>
        <w:tc>
          <w:tcPr>
            <w:tcW w:type="dxa" w:w="2160"/>
          </w:tcPr>
          <w:p>
            <w:r/>
            <w:r>
              <w:rPr>
                <w:sz w:val="19"/>
              </w:rPr>
              <w:t>Wolseley / Ferguson (UK→US)</w:t>
            </w:r>
          </w:p>
        </w:tc>
        <w:tc>
          <w:tcPr>
            <w:tcW w:type="dxa" w:w="1296"/>
          </w:tcPr>
          <w:p>
            <w:r/>
            <w:r>
              <w:rPr>
                <w:sz w:val="19"/>
              </w:rPr>
              <w:t>2016–c.21</w:t>
            </w:r>
          </w:p>
        </w:tc>
        <w:tc>
          <w:tcPr>
            <w:tcW w:type="dxa" w:w="5184"/>
          </w:tcPr>
          <w:p>
            <w:r/>
            <w:r>
              <w:rPr>
                <w:sz w:val="19"/>
              </w:rPr>
              <w:t>US focus, name change, listing migration to NYSE; strong re-rating.</w:t>
            </w:r>
          </w:p>
        </w:tc>
        <w:tc>
          <w:tcPr>
            <w:tcW w:type="dxa" w:w="1152"/>
          </w:tcPr>
          <w:p>
            <w:r/>
            <w:r>
              <w:rPr>
                <w:sz w:val="19"/>
              </w:rPr>
              <w:t>Win</w:t>
            </w:r>
          </w:p>
        </w:tc>
      </w:tr>
      <w:tr>
        <w:tc>
          <w:tcPr>
            <w:tcW w:type="dxa" w:w="2160"/>
            <w:shd w:fill="F2F4F8"/>
          </w:tcPr>
          <w:p>
            <w:r/>
            <w:r>
              <w:rPr>
                <w:sz w:val="19"/>
              </w:rPr>
              <w:t>Autoliv (SE)</w:t>
            </w:r>
          </w:p>
        </w:tc>
        <w:tc>
          <w:tcPr>
            <w:tcW w:type="dxa" w:w="1296"/>
            <w:shd w:fill="F2F4F8"/>
          </w:tcPr>
          <w:p>
            <w:r/>
            <w:r>
              <w:rPr>
                <w:sz w:val="19"/>
              </w:rPr>
              <w:t>2017–c.21</w:t>
            </w:r>
          </w:p>
        </w:tc>
        <w:tc>
          <w:tcPr>
            <w:tcW w:type="dxa" w:w="5184"/>
            <w:shd w:fill="F2F4F8"/>
          </w:tcPr>
          <w:p>
            <w:r/>
            <w:r>
              <w:rPr>
                <w:sz w:val="19"/>
              </w:rPr>
              <w:t>Supported the Veoneer spin (2018); Veoneer acquired 2021 at a large premium.</w:t>
            </w:r>
          </w:p>
        </w:tc>
        <w:tc>
          <w:tcPr>
            <w:tcW w:type="dxa" w:w="1152"/>
            <w:shd w:fill="F2F4F8"/>
          </w:tcPr>
          <w:p>
            <w:r/>
            <w:r>
              <w:rPr>
                <w:sz w:val="19"/>
              </w:rPr>
              <w:t>Win</w:t>
            </w:r>
          </w:p>
        </w:tc>
      </w:tr>
      <w:tr>
        <w:tc>
          <w:tcPr>
            <w:tcW w:type="dxa" w:w="2160"/>
          </w:tcPr>
          <w:p>
            <w:r/>
            <w:r>
              <w:rPr>
                <w:sz w:val="19"/>
              </w:rPr>
              <w:t>Ericsson (SE)</w:t>
            </w:r>
          </w:p>
        </w:tc>
        <w:tc>
          <w:tcPr>
            <w:tcW w:type="dxa" w:w="1296"/>
          </w:tcPr>
          <w:p>
            <w:r/>
            <w:r>
              <w:rPr>
                <w:sz w:val="19"/>
              </w:rPr>
              <w:t>2017–c.23</w:t>
            </w:r>
          </w:p>
        </w:tc>
        <w:tc>
          <w:tcPr>
            <w:tcW w:type="dxa" w:w="5184"/>
          </w:tcPr>
          <w:p>
            <w:r/>
            <w:r>
              <w:rPr>
                <w:sz w:val="19"/>
              </w:rPr>
              <w:t>Chair change (Leten), cost and portfolio focus; stock roughly doubled into 2021, then compliance issues gave much back; reported net positive but bumpy.</w:t>
            </w:r>
          </w:p>
        </w:tc>
        <w:tc>
          <w:tcPr>
            <w:tcW w:type="dxa" w:w="1152"/>
          </w:tcPr>
          <w:p>
            <w:r/>
            <w:r>
              <w:rPr>
                <w:sz w:val="19"/>
              </w:rPr>
              <w:t>Mixed+</w:t>
            </w:r>
          </w:p>
        </w:tc>
      </w:tr>
      <w:tr>
        <w:tc>
          <w:tcPr>
            <w:tcW w:type="dxa" w:w="2160"/>
            <w:shd w:fill="F2F4F8"/>
          </w:tcPr>
          <w:p>
            <w:r/>
            <w:r>
              <w:rPr>
                <w:sz w:val="19"/>
              </w:rPr>
              <w:t>Panalpina (CH)</w:t>
            </w:r>
          </w:p>
        </w:tc>
        <w:tc>
          <w:tcPr>
            <w:tcW w:type="dxa" w:w="1296"/>
            <w:shd w:fill="F2F4F8"/>
          </w:tcPr>
          <w:p>
            <w:r/>
            <w:r>
              <w:rPr>
                <w:sz w:val="19"/>
              </w:rPr>
              <w:t>c.2013–19</w:t>
            </w:r>
          </w:p>
        </w:tc>
        <w:tc>
          <w:tcPr>
            <w:tcW w:type="dxa" w:w="5184"/>
            <w:shd w:fill="F2F4F8"/>
          </w:tcPr>
          <w:p>
            <w:r/>
            <w:r>
              <w:rPr>
                <w:sz w:val="19"/>
              </w:rPr>
              <w:t>Long-held ~12% position frustrated for years by the anchor foundation; pushed sale; DSV all-share takeover 2019 at a substantial premium.</w:t>
            </w:r>
          </w:p>
        </w:tc>
        <w:tc>
          <w:tcPr>
            <w:tcW w:type="dxa" w:w="1152"/>
            <w:shd w:fill="F2F4F8"/>
          </w:tcPr>
          <w:p>
            <w:r/>
            <w:r>
              <w:rPr>
                <w:sz w:val="19"/>
              </w:rPr>
              <w:t>Win</w:t>
            </w:r>
          </w:p>
        </w:tc>
      </w:tr>
      <w:tr>
        <w:tc>
          <w:tcPr>
            <w:tcW w:type="dxa" w:w="2160"/>
          </w:tcPr>
          <w:p>
            <w:r/>
            <w:r>
              <w:rPr>
                <w:sz w:val="19"/>
              </w:rPr>
              <w:t>Nordea (FI/SE)</w:t>
            </w:r>
          </w:p>
        </w:tc>
        <w:tc>
          <w:tcPr>
            <w:tcW w:type="dxa" w:w="1296"/>
          </w:tcPr>
          <w:p>
            <w:r/>
            <w:r>
              <w:rPr>
                <w:sz w:val="19"/>
              </w:rPr>
              <w:t>2019–c.24</w:t>
            </w:r>
          </w:p>
        </w:tc>
        <w:tc>
          <w:tcPr>
            <w:tcW w:type="dxa" w:w="5184"/>
          </w:tcPr>
          <w:p>
            <w:r/>
            <w:r>
              <w:rPr>
                <w:sz w:val="19"/>
              </w:rPr>
              <w:t>Cost discipline and capital returns; large buybacks and re-rating followed.</w:t>
            </w:r>
          </w:p>
        </w:tc>
        <w:tc>
          <w:tcPr>
            <w:tcW w:type="dxa" w:w="1152"/>
          </w:tcPr>
          <w:p>
            <w:r/>
            <w:r>
              <w:rPr>
                <w:sz w:val="19"/>
              </w:rPr>
              <w:t>Win</w:t>
            </w:r>
          </w:p>
        </w:tc>
      </w:tr>
      <w:tr>
        <w:tc>
          <w:tcPr>
            <w:tcW w:type="dxa" w:w="2160"/>
            <w:shd w:fill="F2F4F8"/>
          </w:tcPr>
          <w:p>
            <w:r/>
            <w:r>
              <w:rPr>
                <w:sz w:val="19"/>
              </w:rPr>
              <w:t>Pearson (UK)</w:t>
            </w:r>
          </w:p>
        </w:tc>
        <w:tc>
          <w:tcPr>
            <w:tcW w:type="dxa" w:w="1296"/>
            <w:shd w:fill="F2F4F8"/>
          </w:tcPr>
          <w:p>
            <w:r/>
            <w:r>
              <w:rPr>
                <w:sz w:val="19"/>
              </w:rPr>
              <w:t>2020–</w:t>
            </w:r>
          </w:p>
        </w:tc>
        <w:tc>
          <w:tcPr>
            <w:tcW w:type="dxa" w:w="5184"/>
            <w:shd w:fill="F2F4F8"/>
          </w:tcPr>
          <w:p>
            <w:r/>
            <w:r>
              <w:rPr>
                <w:sz w:val="19"/>
              </w:rPr>
              <w:t>Backed digital turnaround; re-rated under new CEO; Apollo approaches (2022) rejected above-market; Cevian has since lifted its stake to ~18% — its largest disclosed percentage holding.</w:t>
            </w:r>
          </w:p>
        </w:tc>
        <w:tc>
          <w:tcPr>
            <w:tcW w:type="dxa" w:w="1152"/>
            <w:shd w:fill="F2F4F8"/>
          </w:tcPr>
          <w:p>
            <w:r/>
            <w:r>
              <w:rPr>
                <w:sz w:val="19"/>
              </w:rPr>
              <w:t>Win, ongoing</w:t>
            </w:r>
          </w:p>
        </w:tc>
      </w:tr>
      <w:tr>
        <w:tc>
          <w:tcPr>
            <w:tcW w:type="dxa" w:w="2160"/>
          </w:tcPr>
          <w:p>
            <w:r/>
            <w:r>
              <w:rPr>
                <w:sz w:val="19"/>
              </w:rPr>
              <w:t>Vodafone (UK)</w:t>
            </w:r>
          </w:p>
        </w:tc>
        <w:tc>
          <w:tcPr>
            <w:tcW w:type="dxa" w:w="1296"/>
          </w:tcPr>
          <w:p>
            <w:r/>
            <w:r>
              <w:rPr>
                <w:sz w:val="19"/>
              </w:rPr>
              <w:t>2021–c.23</w:t>
            </w:r>
          </w:p>
        </w:tc>
        <w:tc>
          <w:tcPr>
            <w:tcW w:type="dxa" w:w="5184"/>
          </w:tcPr>
          <w:p>
            <w:r/>
            <w:r>
              <w:rPr>
                <w:sz w:val="19"/>
              </w:rPr>
              <w:t>Consolidation and portfolio agenda; change came too slowly; reported exit around flat-to-negative.</w:t>
            </w:r>
          </w:p>
        </w:tc>
        <w:tc>
          <w:tcPr>
            <w:tcW w:type="dxa" w:w="1152"/>
          </w:tcPr>
          <w:p>
            <w:r/>
            <w:r>
              <w:rPr>
                <w:sz w:val="19"/>
              </w:rPr>
              <w:t>Failure</w:t>
            </w:r>
          </w:p>
        </w:tc>
      </w:tr>
      <w:tr>
        <w:tc>
          <w:tcPr>
            <w:tcW w:type="dxa" w:w="2160"/>
            <w:shd w:fill="F2F4F8"/>
          </w:tcPr>
          <w:p>
            <w:r/>
            <w:r>
              <w:rPr>
                <w:sz w:val="19"/>
              </w:rPr>
              <w:t>Aviva (UK)</w:t>
            </w:r>
          </w:p>
        </w:tc>
        <w:tc>
          <w:tcPr>
            <w:tcW w:type="dxa" w:w="1296"/>
            <w:shd w:fill="F2F4F8"/>
          </w:tcPr>
          <w:p>
            <w:r/>
            <w:r>
              <w:rPr>
                <w:sz w:val="19"/>
              </w:rPr>
              <w:t>2021–c.24</w:t>
            </w:r>
          </w:p>
        </w:tc>
        <w:tc>
          <w:tcPr>
            <w:tcW w:type="dxa" w:w="5184"/>
            <w:shd w:fill="F2F4F8"/>
          </w:tcPr>
          <w:p>
            <w:r/>
            <w:r>
              <w:rPr>
                <w:sz w:val="19"/>
              </w:rPr>
              <w:t>Demanded ~GBP 5bn capital return and cost cuts; delivered, stock re-rated.</w:t>
            </w:r>
          </w:p>
        </w:tc>
        <w:tc>
          <w:tcPr>
            <w:tcW w:type="dxa" w:w="1152"/>
            <w:shd w:fill="F2F4F8"/>
          </w:tcPr>
          <w:p>
            <w:r/>
            <w:r>
              <w:rPr>
                <w:sz w:val="19"/>
              </w:rPr>
              <w:t>Win</w:t>
            </w:r>
          </w:p>
        </w:tc>
      </w:tr>
      <w:tr>
        <w:tc>
          <w:tcPr>
            <w:tcW w:type="dxa" w:w="2160"/>
          </w:tcPr>
          <w:p>
            <w:r/>
            <w:r>
              <w:rPr>
                <w:sz w:val="19"/>
              </w:rPr>
              <w:t>UBS (CH)</w:t>
            </w:r>
          </w:p>
        </w:tc>
        <w:tc>
          <w:tcPr>
            <w:tcW w:type="dxa" w:w="1296"/>
          </w:tcPr>
          <w:p>
            <w:r/>
            <w:r>
              <w:rPr>
                <w:sz w:val="19"/>
              </w:rPr>
              <w:t>2023–25</w:t>
            </w:r>
          </w:p>
        </w:tc>
        <w:tc>
          <w:tcPr>
            <w:tcW w:type="dxa" w:w="5184"/>
          </w:tcPr>
          <w:p>
            <w:r/>
            <w:r>
              <w:rPr>
                <w:sz w:val="19"/>
              </w:rPr>
              <w:t>~1.3% re-rating bet after the Credit Suisse rescue; stock up sharply; reported ~2x on early tranches at 2025 sales.</w:t>
            </w:r>
          </w:p>
        </w:tc>
        <w:tc>
          <w:tcPr>
            <w:tcW w:type="dxa" w:w="1152"/>
          </w:tcPr>
          <w:p>
            <w:r/>
            <w:r>
              <w:rPr>
                <w:sz w:val="19"/>
              </w:rPr>
              <w:t>Win</w:t>
            </w:r>
          </w:p>
        </w:tc>
      </w:tr>
      <w:tr>
        <w:tc>
          <w:tcPr>
            <w:tcW w:type="dxa" w:w="2160"/>
            <w:shd w:fill="F2F4F8"/>
          </w:tcPr>
          <w:p>
            <w:r/>
            <w:r>
              <w:rPr>
                <w:sz w:val="19"/>
              </w:rPr>
              <w:t>Baloise (CH)</w:t>
            </w:r>
          </w:p>
        </w:tc>
        <w:tc>
          <w:tcPr>
            <w:tcW w:type="dxa" w:w="1296"/>
            <w:shd w:fill="F2F4F8"/>
          </w:tcPr>
          <w:p>
            <w:r/>
            <w:r>
              <w:rPr>
                <w:sz w:val="19"/>
              </w:rPr>
              <w:t>2023–25</w:t>
            </w:r>
          </w:p>
        </w:tc>
        <w:tc>
          <w:tcPr>
            <w:tcW w:type="dxa" w:w="5184"/>
            <w:shd w:fill="F2F4F8"/>
          </w:tcPr>
          <w:p>
            <w:r/>
            <w:r>
              <w:rPr>
                <w:sz w:val="19"/>
              </w:rPr>
              <w:t>9.4%; strategy reset and removal of vote caps; Helvetia merger announced April 2025 (completed December 2025); Cevian sold to Patria at ~CHF 184 vs ~CHF 130 entry (~+40%).</w:t>
            </w:r>
          </w:p>
        </w:tc>
        <w:tc>
          <w:tcPr>
            <w:tcW w:type="dxa" w:w="1152"/>
            <w:shd w:fill="F2F4F8"/>
          </w:tcPr>
          <w:p>
            <w:r/>
            <w:r>
              <w:rPr>
                <w:sz w:val="19"/>
              </w:rPr>
              <w:t>Win</w:t>
            </w:r>
          </w:p>
        </w:tc>
      </w:tr>
      <w:tr>
        <w:tc>
          <w:tcPr>
            <w:tcW w:type="dxa" w:w="2160"/>
          </w:tcPr>
          <w:p>
            <w:r/>
            <w:r>
              <w:rPr>
                <w:sz w:val="19"/>
              </w:rPr>
              <w:t>Smith+Nephew (UK)</w:t>
            </w:r>
          </w:p>
        </w:tc>
        <w:tc>
          <w:tcPr>
            <w:tcW w:type="dxa" w:w="1296"/>
          </w:tcPr>
          <w:p>
            <w:r/>
            <w:r>
              <w:rPr>
                <w:sz w:val="19"/>
              </w:rPr>
              <w:t>2024–</w:t>
            </w:r>
          </w:p>
        </w:tc>
        <w:tc>
          <w:tcPr>
            <w:tcW w:type="dxa" w:w="5184"/>
          </w:tcPr>
          <w:p>
            <w:r/>
            <w:r>
              <w:rPr>
                <w:sz w:val="19"/>
              </w:rPr>
              <w:t>Entered ~5% in 2024; conviction has grown with the campaign — stake lifted above 10% by mid-2026 (&gt;USD 1.3bn position). Margin recovery and structural options including a US listing review; shares up since disclosure.</w:t>
            </w:r>
          </w:p>
        </w:tc>
        <w:tc>
          <w:tcPr>
            <w:tcW w:type="dxa" w:w="1152"/>
          </w:tcPr>
          <w:p>
            <w:r/>
            <w:r>
              <w:rPr>
                <w:sz w:val="19"/>
              </w:rPr>
              <w:t>Ongoing</w:t>
            </w:r>
          </w:p>
        </w:tc>
      </w:tr>
      <w:tr>
        <w:tc>
          <w:tcPr>
            <w:tcW w:type="dxa" w:w="2160"/>
            <w:shd w:fill="F2F4F8"/>
          </w:tcPr>
          <w:p>
            <w:r/>
            <w:r>
              <w:rPr>
                <w:sz w:val="19"/>
              </w:rPr>
              <w:t>Akzo Nobel (NL)</w:t>
            </w:r>
          </w:p>
        </w:tc>
        <w:tc>
          <w:tcPr>
            <w:tcW w:type="dxa" w:w="1296"/>
            <w:shd w:fill="F2F4F8"/>
          </w:tcPr>
          <w:p>
            <w:r/>
            <w:r>
              <w:rPr>
                <w:sz w:val="19"/>
              </w:rPr>
              <w:t>2025–</w:t>
            </w:r>
          </w:p>
        </w:tc>
        <w:tc>
          <w:tcPr>
            <w:tcW w:type="dxa" w:w="5184"/>
            <w:shd w:fill="F2F4F8"/>
          </w:tcPr>
          <w:p>
            <w:r/>
            <w:r>
              <w:rPr>
                <w:sz w:val="19"/>
              </w:rPr>
              <w:t>Built ~5% during 2025 pressing for a strategy reset; publicly backed the USD 25bn all-stock Axalta merger of equals (announced November 2025), then doubled to ~10.2% funded by the ABB exit.</w:t>
            </w:r>
          </w:p>
        </w:tc>
        <w:tc>
          <w:tcPr>
            <w:tcW w:type="dxa" w:w="1152"/>
            <w:shd w:fill="F2F4F8"/>
          </w:tcPr>
          <w:p>
            <w:r/>
            <w:r>
              <w:rPr>
                <w:sz w:val="19"/>
              </w:rPr>
              <w:t>Ongoing</w:t>
            </w:r>
          </w:p>
        </w:tc>
      </w:tr>
      <w:tr>
        <w:tc>
          <w:tcPr>
            <w:tcW w:type="dxa" w:w="2160"/>
          </w:tcPr>
          <w:p>
            <w:r/>
            <w:r>
              <w:rPr>
                <w:sz w:val="19"/>
              </w:rPr>
              <w:t>SIG Group (CH)</w:t>
            </w:r>
          </w:p>
        </w:tc>
        <w:tc>
          <w:tcPr>
            <w:tcW w:type="dxa" w:w="1296"/>
          </w:tcPr>
          <w:p>
            <w:r/>
            <w:r>
              <w:rPr>
                <w:sz w:val="19"/>
              </w:rPr>
              <w:t>2025–</w:t>
            </w:r>
          </w:p>
        </w:tc>
        <w:tc>
          <w:tcPr>
            <w:tcW w:type="dxa" w:w="5184"/>
          </w:tcPr>
          <w:p>
            <w:r/>
            <w:r>
              <w:rPr>
                <w:sz w:val="19"/>
              </w:rPr>
              <w:t>New position in the Swiss food-packaging maker disclosed late 2025; de-rated quality franchise, self-help thesis.</w:t>
            </w:r>
          </w:p>
        </w:tc>
        <w:tc>
          <w:tcPr>
            <w:tcW w:type="dxa" w:w="1152"/>
          </w:tcPr>
          <w:p>
            <w:r/>
            <w:r>
              <w:rPr>
                <w:sz w:val="19"/>
              </w:rPr>
              <w:t>Ongoing</w:t>
            </w:r>
          </w:p>
        </w:tc>
      </w:tr>
    </w:tbl>
    <w:p/>
    <w:p>
      <w:r>
        <w:rPr>
          <w:b w:val="0"/>
          <w:i/>
        </w:rPr>
        <w:t>Read-across: roughly three clear failures in ~23 disclosed campaigns, with the wins concentrated where a transaction or separation crystallised value (Skandia, RSA, Panalpina, Alent, Autoliv/Veoneer, Baloise) — supporting this strategy's M&amp;A-archetype weighting. The failures share a fingerprint our screens are built to exclude: fragile balance sheets, stakeholder/political complexity, and catalysts outside shareholders' control (ThyssenKrupp, Bilfinger, Vodafone).</w:t>
      </w:r>
    </w:p>
    <w:p>
      <w:pPr>
        <w:pStyle w:val="Heading3"/>
      </w:pPr>
      <w:r>
        <w:t>A.1.1 Selected Cevian campaigns in depth</w:t>
      </w:r>
    </w:p>
    <w:p>
      <w:r>
        <w:rPr>
          <w:b/>
          <w:i w:val="0"/>
        </w:rPr>
        <w:t>Volvo Group (2006–17) — the franchise-maker.</w:t>
      </w:r>
    </w:p>
    <w:p>
      <w:pPr>
        <w:pStyle w:val="ListBullet2"/>
        <w:spacing w:after="80"/>
      </w:pPr>
      <w:r>
        <w:t>Built one of its largest-ever positions (via the Violet Partners vehicle) in a conglomerate then spanning trucks, construction equipment, buses, marine and aerospace, trading at a deep discount to focused peers.</w:t>
      </w:r>
    </w:p>
    <w:p>
      <w:pPr>
        <w:pStyle w:val="ListBullet2"/>
        <w:spacing w:after="80"/>
      </w:pPr>
      <w:r>
        <w:t>Agenda over a decade: portfolio focus (Volvo Aero divested 2012), repeated cost and margin programs, governance renewal, and capital discipline through the truck cycle.</w:t>
      </w:r>
    </w:p>
    <w:p>
      <w:pPr>
        <w:pStyle w:val="ListBullet2"/>
        <w:spacing w:after="80"/>
      </w:pPr>
      <w:r>
        <w:t>Exit: the 8.2%/A-share stake was sold to Geely in December 2017 for ~USD 3.9bn — publicly reported as among Cevian's most profitable investments (~2x over the hold, with substantial dividends on top). Lesson: in cyclical industrials, the value plan must survive two downcycles; patience plus board influence eventually compounds.</w:t>
      </w:r>
    </w:p>
    <w:p>
      <w:r>
        <w:rPr>
          <w:b/>
          <w:i w:val="0"/>
        </w:rPr>
        <w:t>ThyssenKrupp (2013–c.22) — the instructive failure.</w:t>
      </w:r>
    </w:p>
    <w:p>
      <w:pPr>
        <w:pStyle w:val="ListBullet2"/>
        <w:spacing w:after="80"/>
      </w:pPr>
      <w:r>
        <w:t>Entered 2013 and built to ~18%, the second-largest holder, with a board seat; thesis: a classic conglomerate break-up (steel, elevators, automotive, plant engineering) at a large SOTP discount.</w:t>
      </w:r>
    </w:p>
    <w:p>
      <w:pPr>
        <w:pStyle w:val="ListBullet2"/>
        <w:spacing w:after="80"/>
      </w:pPr>
      <w:r>
        <w:t>What went wrong: chronically weak cash generation and pension liabilities meant the company, not the shareholder, controlled the timetable; management resisted for years (CEO and chair both exited 2018 amid the pressure); German stakeholder politics (labour co-determination, foundation anchor) blunted every escalation.</w:t>
      </w:r>
    </w:p>
    <w:p>
      <w:pPr>
        <w:pStyle w:val="ListBullet2"/>
        <w:spacing w:after="80"/>
      </w:pPr>
      <w:r>
        <w:t>The Elevator sale (EUR 17.2bn to Advent/Cinven, February 2020) finally proved the SOTP — but proceeds plugged holes rather than reaching shareholders, and the shares had collapsed from ~EUR 25 (2017) to single digits. Cevian sold down through 2020–22 at a significant reported loss.</w:t>
      </w:r>
    </w:p>
    <w:p>
      <w:pPr>
        <w:pStyle w:val="ListBullet2"/>
        <w:spacing w:after="80"/>
      </w:pPr>
      <w:r>
        <w:t>Lesson encoded in our Screen 3: no fragile balance sheets, no politically anchored registers, no catalysts the company cannot afford to execute.</w:t>
      </w:r>
    </w:p>
    <w:p>
      <w:r>
        <w:rPr>
          <w:b/>
          <w:i w:val="0"/>
        </w:rPr>
        <w:t>RSA Insurance (2013–21) — underwrite the end-game.</w:t>
      </w:r>
    </w:p>
    <w:p>
      <w:pPr>
        <w:pStyle w:val="ListBullet2"/>
        <w:spacing w:after="80"/>
      </w:pPr>
      <w:r>
        <w:t>Entered around the 2013–14 crisis (Irish reserving scandal, dividend cut, rights issue) and built to ~14%, becoming the largest shareholder with board representation.</w:t>
      </w:r>
    </w:p>
    <w:p>
      <w:pPr>
        <w:pStyle w:val="ListBullet2"/>
        <w:spacing w:after="80"/>
      </w:pPr>
      <w:r>
        <w:t>Agenda: exit non-core geographies, fix underwriting discipline, return capital — executed under the Hester management team over several years while Cevian publicly kept a sale on the table.</w:t>
      </w:r>
    </w:p>
    <w:p>
      <w:pPr>
        <w:pStyle w:val="ListBullet2"/>
        <w:spacing w:after="80"/>
      </w:pPr>
      <w:r>
        <w:t>Exit: the Intact/Tryg consortium takeover (agreed November 2020, completed 2021) at 685p — ~50% above the undisturbed price — split the group between the buyers. A template for our M&amp;A archetype: operational repair first, strategic premium second.</w:t>
      </w:r>
    </w:p>
    <w:p>
      <w:r>
        <w:rPr>
          <w:b/>
          <w:i w:val="0"/>
        </w:rPr>
        <w:t>ABB (2015–25) — the slow win.</w:t>
      </w:r>
    </w:p>
    <w:p>
      <w:pPr>
        <w:pStyle w:val="ListBullet2"/>
        <w:spacing w:after="80"/>
      </w:pPr>
      <w:r>
        <w:t>~6% built from 2015; demands: exit Power Grids, decentralise the matrix organisation, lift margins, return capital. Management initially kept Power Grids after a 2016 review; Cevian persisted, gaining board representation and, after a CEO change, the Power Grids sale to Hitachi (USD 11bn enterprise value, completed 2020) with proceeds returned via buybacks.</w:t>
      </w:r>
    </w:p>
    <w:p>
      <w:pPr>
        <w:pStyle w:val="ListBullet2"/>
        <w:spacing w:after="80"/>
      </w:pPr>
      <w:r>
        <w:t>The decentralised operating model under new leadership drove a multi-year re-rating; Cevian's long-held position was finally sold down in 2025, funding new positions (Akzo Nobel, SIG).</w:t>
      </w:r>
    </w:p>
    <w:p>
      <w:pPr>
        <w:pStyle w:val="ListBullet2"/>
        <w:spacing w:after="80"/>
      </w:pPr>
      <w:r>
        <w:t>Lesson: a ten-year hold can still be a win at scale, but it argues for our evergreen structure and for milestone-based campaign reviews.</w:t>
      </w:r>
    </w:p>
    <w:p>
      <w:r>
        <w:rPr>
          <w:b/>
          <w:i w:val="0"/>
        </w:rPr>
        <w:t>Ericsson (2017–c.23) — right plan, exogenous shock.</w:t>
      </w:r>
    </w:p>
    <w:p>
      <w:pPr>
        <w:pStyle w:val="ListBullet2"/>
        <w:spacing w:after="80"/>
      </w:pPr>
      <w:r>
        <w:t>Built ~9% economic exposure (shares plus instruments) in 2017 at crisis prices; demands: new chair (Ronnie Leten arrived 2018), radical cost reduction, focus on networks, no value-destructive M&amp;A.</w:t>
      </w:r>
    </w:p>
    <w:p>
      <w:pPr>
        <w:pStyle w:val="ListBullet2"/>
        <w:spacing w:after="80"/>
      </w:pPr>
      <w:r>
        <w:t>The plan worked: margins recovered and the shares roughly doubled into 2021; Cevian reportedly sold down much of the position near the highs.</w:t>
      </w:r>
    </w:p>
    <w:p>
      <w:pPr>
        <w:pStyle w:val="ListBullet2"/>
        <w:spacing w:after="80"/>
      </w:pPr>
      <w:r>
        <w:t>The 2022 compliance disclosures (Iraq) and the Vonage acquisition — the exact M&amp;A pattern Cevian had warned against — gave back much of the re-rating. Net outcome reported positive. Lesson: take profits when the underwrite is achieved; do not re-underwrite a new thesis by inertia.</w:t>
      </w:r>
    </w:p>
    <w:p>
      <w:r>
        <w:rPr>
          <w:b/>
          <w:i w:val="0"/>
        </w:rPr>
        <w:t>Aviva (2021–c.24) — the capital-return campaign.</w:t>
      </w:r>
    </w:p>
    <w:p>
      <w:pPr>
        <w:pStyle w:val="ListBullet2"/>
        <w:spacing w:after="80"/>
      </w:pPr>
      <w:r>
        <w:t>Disclosed ~5% in June 2021 behind a precise, public ask: return GBP 5bn of excess capital by mid-2022 and cut GBP 300m of costs, supporting the new CEO's disposal program (eight non-core geographies sold).</w:t>
      </w:r>
    </w:p>
    <w:p>
      <w:pPr>
        <w:pStyle w:val="ListBullet2"/>
        <w:spacing w:after="80"/>
      </w:pPr>
      <w:r>
        <w:t>Aviva returned ~GBP 4.75bn (B-share scheme plus buybacks) and hit the cost targets; the stock re-rated and Cevian exited with a solid reported gain inside ~2–3 years.</w:t>
      </w:r>
    </w:p>
    <w:p>
      <w:pPr>
        <w:pStyle w:val="ListBullet2"/>
        <w:spacing w:after="80"/>
      </w:pPr>
      <w:r>
        <w:t>A template for the capital-allocation archetype: a demand the company can fund, stated in numbers, aligned with management's own logic.</w:t>
      </w:r>
    </w:p>
    <w:p>
      <w:r>
        <w:rPr>
          <w:b/>
          <w:i w:val="0"/>
        </w:rPr>
        <w:t>UBS (2023–25) — the special-situation re-rate.</w:t>
      </w:r>
    </w:p>
    <w:p>
      <w:pPr>
        <w:pStyle w:val="ListBullet2"/>
        <w:spacing w:after="80"/>
      </w:pPr>
      <w:r>
        <w:t>Bought ~1.3% (~EUR 1.2bn) in late 2023 after the Credit Suisse rescue; thesis stated publicly: integration plus capital return could double the value toward Morgan Stanley-class multiples.</w:t>
      </w:r>
    </w:p>
    <w:p>
      <w:pPr>
        <w:pStyle w:val="ListBullet2"/>
        <w:spacing w:after="80"/>
      </w:pPr>
      <w:r>
        <w:t>No campaign was needed — the position was a valuation bet with engagement optionality. The shares re-rated sharply; sales in 2025 reportedly realised ~2x on early tranches, recycling capital into Smith+Nephew and Akzo Nobel.</w:t>
      </w:r>
    </w:p>
    <w:p>
      <w:r>
        <w:rPr>
          <w:b/>
          <w:i w:val="0"/>
        </w:rPr>
        <w:t>Baloise (2023–25) — governance unlock, Swiss edition.</w:t>
      </w:r>
    </w:p>
    <w:p>
      <w:pPr>
        <w:pStyle w:val="ListBullet2"/>
        <w:spacing w:after="80"/>
      </w:pPr>
      <w:r>
        <w:t>Built 9.4% from 2023 (entry ~CHF 130); demands: abandon the diversification strategy, refocus on core insurance, lift margins — and remove the statutory 2% vote-registration cap, which shareholders duly scrapped in 2024, unlocking the register.</w:t>
      </w:r>
    </w:p>
    <w:p>
      <w:pPr>
        <w:pStyle w:val="ListBullet2"/>
        <w:spacing w:after="80"/>
      </w:pPr>
      <w:r>
        <w:t>Outcome: the Helvetia–Baloise merger of equals (announced April 2025, completed December 2025, ~CHF 8.3bn) — Cevian sold its stake to Patria (Helvetia's anchor) at ~CHF 184 to clear the path: ~+40% plus dividends in under three years.</w:t>
      </w:r>
    </w:p>
    <w:p>
      <w:pPr>
        <w:pStyle w:val="ListBullet2"/>
        <w:spacing w:after="80"/>
      </w:pPr>
      <w:r>
        <w:t>Lesson: governance plumbing (vote caps, registration rules) is often the real barrier; removing it is itself a catalyst.</w:t>
      </w:r>
    </w:p>
    <w:p>
      <w:r>
        <w:rPr>
          <w:b/>
          <w:i w:val="0"/>
        </w:rPr>
        <w:t>Akzo Nobel (2025–) — the live M&amp;A-archetype case.</w:t>
      </w:r>
    </w:p>
    <w:p>
      <w:pPr>
        <w:pStyle w:val="ListBullet2"/>
        <w:spacing w:after="80"/>
      </w:pPr>
      <w:r>
        <w:t>Built ~5% during 2025, publicly pressing for a strategy reset at the perennial coatings underperformer; in November 2025 Akzo and Axalta announced a USD 25bn all-stock merger of equals (Akzo side ~55%, future US listing flagged).</w:t>
      </w:r>
    </w:p>
    <w:p>
      <w:pPr>
        <w:pStyle w:val="ListBullet2"/>
        <w:spacing w:after="80"/>
      </w:pPr>
      <w:r>
        <w:t>Cevian publicly backed the deal and doubled its stake to ~10.2% in December 2025, funded by the ABB exit — buying more after the catalyst, underwriting the synergy and re-listing case through completion (expected H2 2026+).</w:t>
      </w:r>
    </w:p>
    <w:p>
      <w:r>
        <w:rPr>
          <w:b/>
          <w:i w:val="0"/>
        </w:rPr>
        <w:t>Smith+Nephew (2024–) — conviction compounding.</w:t>
      </w:r>
    </w:p>
    <w:p>
      <w:pPr>
        <w:pStyle w:val="ListBullet2"/>
        <w:spacing w:after="80"/>
      </w:pPr>
      <w:r>
        <w:t>Disclosed ~5% in July 2024 as the largest shareholder; agenda: close the margin gap to Stryker-class peers, fix orthopaedics execution, and evaluate structural options — including separating underperforming franchises and a US listing review.</w:t>
      </w:r>
    </w:p>
    <w:p>
      <w:pPr>
        <w:pStyle w:val="ListBullet2"/>
        <w:spacing w:after="80"/>
      </w:pPr>
      <w:r>
        <w:t>13D filings show ~USD 1.1bn invested for 9.6% by early 2026; the position crossed 10% in March 2026 and was increased again in June 2026 — Cevian's standard pattern of adding as milestones are met. Shares up meaningfully since disclosure; campaign ongoing.</w:t>
      </w:r>
    </w:p>
    <w:p>
      <w:r>
        <w:rPr>
          <w:b/>
          <w:i w:val="0"/>
        </w:rPr>
        <w:t xml:space="preserve">Bilfinger (2011–c.20) and Vodafone (2021–c.23) — the other failures, briefly. </w:t>
      </w:r>
    </w:p>
    <w:p>
      <w:pPr>
        <w:pStyle w:val="ListBullet2"/>
        <w:spacing w:after="80"/>
      </w:pPr>
      <w:r>
        <w:t>Bilfinger: built to ~26% behind a services-transformation thesis; absorbed repeated profit warnings, compliance problems and a revolving door of CEOs; roughly a decade for approximately nothing. Lesson: transformation theses need transformation-grade management — underwrite the people, not just the plan.</w:t>
      </w:r>
    </w:p>
    <w:p>
      <w:pPr>
        <w:pStyle w:val="ListBullet2"/>
        <w:spacing w:after="80"/>
      </w:pPr>
      <w:r>
        <w:t>Vodafone: pushed market consolidation, portfolio separation and board change at a structurally challenged telco; change arrived (towers monetisation, UK merger) but after Cevian had reportedly exited around flat-to-negative. Lesson: avoid situations where the catalyst requires regulators and counterparties the shareholder cannot move.</w:t>
      </w:r>
    </w:p>
    <w:p>
      <w:pPr>
        <w:pStyle w:val="Heading2"/>
      </w:pPr>
      <w:r>
        <w:t>A.2 Case Study: EQT Public Value — the cautionary precedent</w:t>
      </w:r>
    </w:p>
    <w:p>
      <w:r>
        <w:rPr>
          <w:b w:val="0"/>
          <w:i w:val="0"/>
        </w:rPr>
        <w:t>This is the single most important precedent for the proposal, because it is its closest structural analogue — a top-tier Nordic private equity sponsor applying its toolbox to listed mid-caps — and it failed. Critically, it failed on design, not on concept: the thesis that PE skills can create value in public markets was never properly tested, because the vehicle was built in a way that prevented the toolbox from ever being used. Every structural choice in Sections 4, 8 and 9 of this document is, in part, a direct response to a specific EQT Public Value error.</w:t>
      </w:r>
    </w:p>
    <w:p>
      <w:r>
        <w:rPr>
          <w:b/>
          <w:i w:val="0"/>
        </w:rPr>
        <w:t>Background.</w:t>
      </w:r>
    </w:p>
    <w:p>
      <w:pPr>
        <w:pStyle w:val="ListBullet"/>
        <w:spacing w:after="80"/>
      </w:pPr>
      <w:r>
        <w:t>EQT AB launched EQT Public Value in 2018–19 to invest in listed Nordic companies where it believed “the EQT toolbox” — operational improvement, board work, M&amp;A — could create value. The pitch was almost identical in spirit to this one.</w:t>
      </w:r>
    </w:p>
    <w:p>
      <w:pPr>
        <w:pStyle w:val="ListBullet"/>
        <w:spacing w:after="80"/>
      </w:pPr>
      <w:r>
        <w:t>It was conceived as a complement to EQT's private funds, run by EQT professionals, and seeded/anchored by EQT and its network rather than raised at scale from dedicated public-equity or activist LPs.</w:t>
      </w:r>
    </w:p>
    <w:p>
      <w:pPr>
        <w:pStyle w:val="ListBullet"/>
        <w:spacing w:after="80"/>
      </w:pPr>
      <w:r>
        <w:t>External fundraising met a lukewarm reception — listed equity sat awkwardly between EQT's PE identity and what public-markets LPs wanted — and the strategy never reached the scale needed to take influential positions. Rather than redesign or shelve it, EQT ran it at sub-scale. That was the first compounding error.</w:t>
      </w:r>
    </w:p>
    <w:p>
      <w:r>
        <w:rPr>
          <w:b/>
          <w:i w:val="0"/>
        </w:rPr>
        <w:t>The book.</w:t>
      </w:r>
    </w:p>
    <w:p>
      <w:r>
        <w:rPr>
          <w:b w:val="0"/>
          <w:i w:val="0"/>
        </w:rPr>
        <w:t>Disclosed holdings over the fund's life included the following. Note the drift over time from value-gap candidates toward growth-momentum names as the 2020–21 bull market inflated: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fill="0B2545"/>
          </w:tcPr>
          <w:p>
            <w:r/>
            <w:r>
              <w:rPr>
                <w:b/>
                <w:color w:val="FFFFFF"/>
                <w:sz w:val="19"/>
              </w:rPr>
              <w:t>Holding</w:t>
            </w:r>
          </w:p>
        </w:tc>
        <w:tc>
          <w:tcPr>
            <w:tcW w:type="dxa" w:w="2448"/>
            <w:shd w:fill="0B2545"/>
          </w:tcPr>
          <w:p>
            <w:r/>
            <w:r>
              <w:rPr>
                <w:b/>
                <w:color w:val="FFFFFF"/>
                <w:sz w:val="19"/>
              </w:rPr>
              <w:t>Sector</w:t>
            </w:r>
          </w:p>
        </w:tc>
        <w:tc>
          <w:tcPr>
            <w:tcW w:type="dxa" w:w="2880"/>
            <w:shd w:fill="0B2545"/>
          </w:tcPr>
          <w:p>
            <w:r/>
            <w:r>
              <w:rPr>
                <w:b/>
                <w:color w:val="FFFFFF"/>
                <w:sz w:val="19"/>
              </w:rPr>
              <w:t>Implied thesis</w:t>
            </w:r>
          </w:p>
        </w:tc>
        <w:tc>
          <w:tcPr>
            <w:tcW w:type="dxa" w:w="3024"/>
            <w:shd w:fill="0B2545"/>
          </w:tcPr>
          <w:p>
            <w:r/>
            <w:r>
              <w:rPr>
                <w:b/>
                <w:color w:val="FFFFFF"/>
                <w:sz w:val="19"/>
              </w:rPr>
              <w:t>What actually drove the position</w:t>
            </w:r>
          </w:p>
        </w:tc>
      </w:tr>
      <w:tr>
        <w:tc>
          <w:tcPr>
            <w:tcW w:type="dxa" w:w="1728"/>
          </w:tcPr>
          <w:p>
            <w:r/>
            <w:r>
              <w:rPr>
                <w:sz w:val="19"/>
              </w:rPr>
              <w:t>Securitas</w:t>
            </w:r>
          </w:p>
        </w:tc>
        <w:tc>
          <w:tcPr>
            <w:tcW w:type="dxa" w:w="2448"/>
          </w:tcPr>
          <w:p>
            <w:r/>
            <w:r>
              <w:rPr>
                <w:sz w:val="19"/>
              </w:rPr>
              <w:t>Guarding / security services</w:t>
            </w:r>
          </w:p>
        </w:tc>
        <w:tc>
          <w:tcPr>
            <w:tcW w:type="dxa" w:w="2880"/>
          </w:tcPr>
          <w:p>
            <w:r/>
            <w:r>
              <w:rPr>
                <w:sz w:val="19"/>
              </w:rPr>
              <w:t>Margin uplift, tech-enablement, portfolio focus — a genuine self-help / value-gap case.</w:t>
            </w:r>
          </w:p>
        </w:tc>
        <w:tc>
          <w:tcPr>
            <w:tcW w:type="dxa" w:w="3024"/>
          </w:tcPr>
          <w:p>
            <w:r/>
            <w:r>
              <w:rPr>
                <w:sz w:val="19"/>
              </w:rPr>
              <w:t>Sound thesis, but the stake was never large enough to drive board change; Securitas's own program (and later activists) did the work.</w:t>
            </w:r>
          </w:p>
        </w:tc>
      </w:tr>
      <w:tr>
        <w:tc>
          <w:tcPr>
            <w:tcW w:type="dxa" w:w="1728"/>
            <w:shd w:fill="F2F4F8"/>
          </w:tcPr>
          <w:p>
            <w:r/>
            <w:r>
              <w:rPr>
                <w:sz w:val="19"/>
              </w:rPr>
              <w:t>Storebrand</w:t>
            </w:r>
          </w:p>
        </w:tc>
        <w:tc>
          <w:tcPr>
            <w:tcW w:type="dxa" w:w="2448"/>
            <w:shd w:fill="F2F4F8"/>
          </w:tcPr>
          <w:p>
            <w:r/>
            <w:r>
              <w:rPr>
                <w:sz w:val="19"/>
              </w:rPr>
              <w:t>Savings &amp; insurance (NO)</w:t>
            </w:r>
          </w:p>
        </w:tc>
        <w:tc>
          <w:tcPr>
            <w:tcW w:type="dxa" w:w="2880"/>
            <w:shd w:fill="F2F4F8"/>
          </w:tcPr>
          <w:p>
            <w:r/>
            <w:r>
              <w:rPr>
                <w:sz w:val="19"/>
              </w:rPr>
              <w:t>Capital return, cost discipline, re-rating of a complex financial — a legitimate value-gap target.</w:t>
            </w:r>
          </w:p>
        </w:tc>
        <w:tc>
          <w:tcPr>
            <w:tcW w:type="dxa" w:w="3024"/>
            <w:shd w:fill="F2F4F8"/>
          </w:tcPr>
          <w:p>
            <w:r/>
            <w:r>
              <w:rPr>
                <w:sz w:val="19"/>
              </w:rPr>
              <w:t>Reasonable holding; again, a passive minority with no influence path.</w:t>
            </w:r>
          </w:p>
        </w:tc>
      </w:tr>
      <w:tr>
        <w:tc>
          <w:tcPr>
            <w:tcW w:type="dxa" w:w="1728"/>
          </w:tcPr>
          <w:p>
            <w:r/>
            <w:r>
              <w:rPr>
                <w:sz w:val="19"/>
              </w:rPr>
              <w:t>AFRY (ÅF Pöyry)</w:t>
            </w:r>
          </w:p>
        </w:tc>
        <w:tc>
          <w:tcPr>
            <w:tcW w:type="dxa" w:w="2448"/>
          </w:tcPr>
          <w:p>
            <w:r/>
            <w:r>
              <w:rPr>
                <w:sz w:val="19"/>
              </w:rPr>
              <w:t>Engineering &amp; design consultancy</w:t>
            </w:r>
          </w:p>
        </w:tc>
        <w:tc>
          <w:tcPr>
            <w:tcW w:type="dxa" w:w="2880"/>
          </w:tcPr>
          <w:p>
            <w:r/>
            <w:r>
              <w:rPr>
                <w:sz w:val="19"/>
              </w:rPr>
              <w:t>Consolidation and margin convergence to Nordic peers.</w:t>
            </w:r>
          </w:p>
        </w:tc>
        <w:tc>
          <w:tcPr>
            <w:tcW w:type="dxa" w:w="3024"/>
          </w:tcPr>
          <w:p>
            <w:r/>
            <w:r>
              <w:rPr>
                <w:sz w:val="19"/>
              </w:rPr>
              <w:t>Cyclical professional-services exposure; no catalyst forced.</w:t>
            </w:r>
          </w:p>
        </w:tc>
      </w:tr>
      <w:tr>
        <w:tc>
          <w:tcPr>
            <w:tcW w:type="dxa" w:w="1728"/>
            <w:shd w:fill="F2F4F8"/>
          </w:tcPr>
          <w:p>
            <w:r/>
            <w:r>
              <w:rPr>
                <w:sz w:val="19"/>
              </w:rPr>
              <w:t>BioGaia</w:t>
            </w:r>
          </w:p>
        </w:tc>
        <w:tc>
          <w:tcPr>
            <w:tcW w:type="dxa" w:w="2448"/>
            <w:shd w:fill="F2F4F8"/>
          </w:tcPr>
          <w:p>
            <w:r/>
            <w:r>
              <w:rPr>
                <w:sz w:val="19"/>
              </w:rPr>
              <w:t>Probiotics / consumer health</w:t>
            </w:r>
          </w:p>
        </w:tc>
        <w:tc>
          <w:tcPr>
            <w:tcW w:type="dxa" w:w="2880"/>
            <w:shd w:fill="F2F4F8"/>
          </w:tcPr>
          <w:p>
            <w:r/>
            <w:r>
              <w:rPr>
                <w:sz w:val="19"/>
              </w:rPr>
              <w:t>Quality compounder, international expansion.</w:t>
            </w:r>
          </w:p>
        </w:tc>
        <w:tc>
          <w:tcPr>
            <w:tcW w:type="dxa" w:w="3024"/>
            <w:shd w:fill="F2F4F8"/>
          </w:tcPr>
          <w:p>
            <w:r/>
            <w:r>
              <w:rPr>
                <w:sz w:val="19"/>
              </w:rPr>
              <w:t>Growth/quality bet, not a value-gap or catalyst story.</w:t>
            </w:r>
          </w:p>
        </w:tc>
      </w:tr>
      <w:tr>
        <w:tc>
          <w:tcPr>
            <w:tcW w:type="dxa" w:w="1728"/>
          </w:tcPr>
          <w:p>
            <w:r/>
            <w:r>
              <w:rPr>
                <w:sz w:val="19"/>
              </w:rPr>
              <w:t>BHG Group</w:t>
            </w:r>
          </w:p>
        </w:tc>
        <w:tc>
          <w:tcPr>
            <w:tcW w:type="dxa" w:w="2448"/>
          </w:tcPr>
          <w:p>
            <w:r/>
            <w:r>
              <w:rPr>
                <w:sz w:val="19"/>
              </w:rPr>
              <w:t>E-commerce (home improvement)</w:t>
            </w:r>
          </w:p>
        </w:tc>
        <w:tc>
          <w:tcPr>
            <w:tcW w:type="dxa" w:w="2880"/>
          </w:tcPr>
          <w:p>
            <w:r/>
            <w:r>
              <w:rPr>
                <w:sz w:val="19"/>
              </w:rPr>
              <w:t>Online penetration growth; consolidation of a fragmented category.</w:t>
            </w:r>
          </w:p>
        </w:tc>
        <w:tc>
          <w:tcPr>
            <w:tcW w:type="dxa" w:w="3024"/>
          </w:tcPr>
          <w:p>
            <w:r/>
            <w:r>
              <w:rPr>
                <w:sz w:val="19"/>
              </w:rPr>
              <w:t>Pandemic-era growth-momentum name; de-rated severely as e-commerce multiples collapsed in 2022.</w:t>
            </w:r>
          </w:p>
        </w:tc>
      </w:tr>
      <w:tr>
        <w:tc>
          <w:tcPr>
            <w:tcW w:type="dxa" w:w="1728"/>
            <w:shd w:fill="F2F4F8"/>
          </w:tcPr>
          <w:p>
            <w:r/>
            <w:r>
              <w:rPr>
                <w:sz w:val="19"/>
              </w:rPr>
              <w:t>Storytel</w:t>
            </w:r>
          </w:p>
        </w:tc>
        <w:tc>
          <w:tcPr>
            <w:tcW w:type="dxa" w:w="2448"/>
            <w:shd w:fill="F2F4F8"/>
          </w:tcPr>
          <w:p>
            <w:r/>
            <w:r>
              <w:rPr>
                <w:sz w:val="19"/>
              </w:rPr>
              <w:t>Audiobook / e-book streaming</w:t>
            </w:r>
          </w:p>
        </w:tc>
        <w:tc>
          <w:tcPr>
            <w:tcW w:type="dxa" w:w="2880"/>
            <w:shd w:fill="F2F4F8"/>
          </w:tcPr>
          <w:p>
            <w:r/>
            <w:r>
              <w:rPr>
                <w:sz w:val="19"/>
              </w:rPr>
              <w:t>Subscriber growth, international roll-out, category leadership.</w:t>
            </w:r>
          </w:p>
        </w:tc>
        <w:tc>
          <w:tcPr>
            <w:tcW w:type="dxa" w:w="3024"/>
            <w:shd w:fill="F2F4F8"/>
          </w:tcPr>
          <w:p>
            <w:r/>
            <w:r>
              <w:rPr>
                <w:sz w:val="19"/>
              </w:rPr>
              <w:t>The clearest momentum entry — see below. The de-rating was catastrophic.</w:t>
            </w:r>
          </w:p>
        </w:tc>
      </w:tr>
    </w:tbl>
    <w:p/>
    <w:p>
      <w:r>
        <w:rPr>
          <w:b/>
          <w:i w:val="0"/>
        </w:rPr>
        <w:t>The Storytel position — the case study within the case study.</w:t>
      </w:r>
    </w:p>
    <w:p>
      <w:pPr>
        <w:pStyle w:val="ListBullet"/>
        <w:spacing w:after="80"/>
      </w:pPr>
      <w:r>
        <w:t>In September 2021, near the top of the audiobook-growth multiple, EQT Public Value bought ~6.6 million shares — close to 10% — becoming the second-largest, and later the largest, shareholder.</w:t>
      </w:r>
    </w:p>
    <w:p>
      <w:pPr>
        <w:pStyle w:val="ListBullet"/>
        <w:spacing w:after="80"/>
      </w:pPr>
      <w:r>
        <w:t>Crucially, there was no board-seat agenda and no value plan the company was asked to execute. The position was, in substance, a long-only quality-growth bet held inside an engagement wrapper — exactly what a PE sponsor's public vehicle should not be.</w:t>
      </w:r>
    </w:p>
    <w:p>
      <w:pPr>
        <w:pStyle w:val="ListBullet"/>
        <w:spacing w:after="80"/>
      </w:pPr>
      <w:r>
        <w:t>As rates rose through 2022, Storytel de-rated by roughly 80% peak-to-trough along with the entire unprofitable-growth complex. With no catalyst and no board influence, EQT had no lever to pull other than to wait or sell.</w:t>
      </w:r>
    </w:p>
    <w:p>
      <w:pPr>
        <w:pStyle w:val="ListBullet"/>
        <w:spacing w:after="80"/>
      </w:pPr>
      <w:r>
        <w:t>When EQT decided to wind the fund down, it sold the entire Storytel holding in August 2024 — a forced, fund-clock liquidation at a fraction of the entry price, into a thin Nordic register, by which time the strategy had quietly consumed roughly six years of franchise attention for little return.</w:t>
      </w:r>
    </w:p>
    <w:p>
      <w:r>
        <w:rPr>
          <w:b/>
          <w:i w:val="0"/>
        </w:rPr>
        <w:t>Why it failed — four design flaws, and how this proposal answers each.</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0B2545"/>
          </w:tcPr>
          <w:p>
            <w:r/>
            <w:r>
              <w:rPr>
                <w:b/>
                <w:color w:val="FFFFFF"/>
                <w:sz w:val="19"/>
              </w:rPr>
              <w:t>EQT Public Value flaw</w:t>
            </w:r>
          </w:p>
        </w:tc>
        <w:tc>
          <w:tcPr>
            <w:tcW w:type="dxa" w:w="3456"/>
            <w:shd w:fill="0B2545"/>
          </w:tcPr>
          <w:p>
            <w:r/>
            <w:r>
              <w:rPr>
                <w:b/>
                <w:color w:val="FFFFFF"/>
                <w:sz w:val="19"/>
              </w:rPr>
              <w:t>Consequence</w:t>
            </w:r>
          </w:p>
        </w:tc>
        <w:tc>
          <w:tcPr>
            <w:tcW w:type="dxa" w:w="3744"/>
            <w:shd w:fill="0B2545"/>
          </w:tcPr>
          <w:p>
            <w:r/>
            <w:r>
              <w:rPr>
                <w:b/>
                <w:color w:val="FFFFFF"/>
                <w:sz w:val="19"/>
              </w:rPr>
              <w:t>This proposal's answer</w:t>
            </w:r>
          </w:p>
        </w:tc>
      </w:tr>
      <w:tr>
        <w:tc>
          <w:tcPr>
            <w:tcW w:type="dxa" w:w="2592"/>
          </w:tcPr>
          <w:p>
            <w:r/>
            <w:r>
              <w:rPr>
                <w:sz w:val="19"/>
              </w:rPr>
              <w:t>Sub-scale capital</w:t>
            </w:r>
          </w:p>
        </w:tc>
        <w:tc>
          <w:tcPr>
            <w:tcW w:type="dxa" w:w="3456"/>
          </w:tcPr>
          <w:p>
            <w:r/>
            <w:r>
              <w:rPr>
                <w:sz w:val="19"/>
              </w:rPr>
              <w:t>Positions were passive minorities with no path to board influence; the “toolbox” could never be deployed.</w:t>
            </w:r>
          </w:p>
        </w:tc>
        <w:tc>
          <w:tcPr>
            <w:tcW w:type="dxa" w:w="3744"/>
          </w:tcPr>
          <w:p>
            <w:r/>
            <w:r>
              <w:rPr>
                <w:sz w:val="19"/>
              </w:rPr>
              <w:t>EUR 150–200m GP seed + USD 1.5bn target; positions sized to 2–10% for nomination-committee (EU) / universal-proxy (US) influence (§4, §6, §8).</w:t>
            </w:r>
          </w:p>
        </w:tc>
      </w:tr>
      <w:tr>
        <w:tc>
          <w:tcPr>
            <w:tcW w:type="dxa" w:w="2592"/>
            <w:shd w:fill="F2F4F8"/>
          </w:tcPr>
          <w:p>
            <w:r/>
            <w:r>
              <w:rPr>
                <w:sz w:val="19"/>
              </w:rPr>
              <w:t>No activist leadership</w:t>
            </w:r>
          </w:p>
        </w:tc>
        <w:tc>
          <w:tcPr>
            <w:tcW w:type="dxa" w:w="3456"/>
            <w:shd w:fill="F2F4F8"/>
          </w:tcPr>
          <w:p>
            <w:r/>
            <w:r>
              <w:rPr>
                <w:sz w:val="19"/>
              </w:rPr>
              <w:t>PE generalists ran a public book without campaign mechanics — no proxy, nomination-committee or settlement expertise.</w:t>
            </w:r>
          </w:p>
        </w:tc>
        <w:tc>
          <w:tcPr>
            <w:tcW w:type="dxa" w:w="3744"/>
            <w:shd w:fill="F2F4F8"/>
          </w:tcPr>
          <w:p>
            <w:r/>
            <w:r>
              <w:rPr>
                <w:sz w:val="19"/>
              </w:rPr>
              <w:t>Partner-level Head of Engaged Equities + a dedicated US campaign Principal (Knut Nyman) hired from the activist front line (§9).</w:t>
            </w:r>
          </w:p>
        </w:tc>
      </w:tr>
      <w:tr>
        <w:tc>
          <w:tcPr>
            <w:tcW w:type="dxa" w:w="2592"/>
          </w:tcPr>
          <w:p>
            <w:r/>
            <w:r>
              <w:rPr>
                <w:sz w:val="19"/>
              </w:rPr>
              <w:t>Wrong entry discipline</w:t>
            </w:r>
          </w:p>
        </w:tc>
        <w:tc>
          <w:tcPr>
            <w:tcW w:type="dxa" w:w="3456"/>
          </w:tcPr>
          <w:p>
            <w:r/>
            <w:r>
              <w:rPr>
                <w:sz w:val="19"/>
              </w:rPr>
              <w:t>Names selected on quality and growth momentum, not on a value gap with a closable catalyst; the book inflated and then de-rated.</w:t>
            </w:r>
          </w:p>
        </w:tc>
        <w:tc>
          <w:tcPr>
            <w:tcW w:type="dxa" w:w="3744"/>
          </w:tcPr>
          <w:p>
            <w:r/>
            <w:r>
              <w:rPr>
                <w:sz w:val="19"/>
              </w:rPr>
              <w:t>≥30% upside to intrinsic value with a named, company-controllable catalyst; explicit no-momentum rule; red-team underwriting (§4).</w:t>
            </w:r>
          </w:p>
        </w:tc>
      </w:tr>
      <w:tr>
        <w:tc>
          <w:tcPr>
            <w:tcW w:type="dxa" w:w="2592"/>
            <w:shd w:fill="F2F4F8"/>
          </w:tcPr>
          <w:p>
            <w:r/>
            <w:r>
              <w:rPr>
                <w:sz w:val="19"/>
              </w:rPr>
              <w:t>Finite fund clock</w:t>
            </w:r>
          </w:p>
        </w:tc>
        <w:tc>
          <w:tcPr>
            <w:tcW w:type="dxa" w:w="3456"/>
            <w:shd w:fill="F2F4F8"/>
          </w:tcPr>
          <w:p>
            <w:r/>
            <w:r>
              <w:rPr>
                <w:sz w:val="19"/>
              </w:rPr>
              <w:t>A wind-down forced selling at the cycle bottom into illiquid registers.</w:t>
            </w:r>
          </w:p>
        </w:tc>
        <w:tc>
          <w:tcPr>
            <w:tcW w:type="dxa" w:w="3744"/>
            <w:shd w:fill="F2F4F8"/>
          </w:tcPr>
          <w:p>
            <w:r/>
            <w:r>
              <w:rPr>
                <w:sz w:val="19"/>
              </w:rPr>
              <w:t>Evergreen structure with a 3-year soft lock and investor-level gates — the fund is never a forced seller (§8).</w:t>
            </w:r>
          </w:p>
        </w:tc>
      </w:tr>
    </w:tbl>
    <w:p/>
    <w:p>
      <w:r>
        <w:rPr>
          <w:b w:val="0"/>
          <w:i/>
        </w:rPr>
        <w:t>The lesson is not that EQT was wrong about the opportunity — it is that a PE sponsor's public-markets vehicle only works if it is built, from day one, as an engagement platform (scale, activist leadership, catalyst discipline, patient capital) rather than as a long-only fund with a famous logo. That is precisely the gap this proposal is designed to fill.</w:t>
      </w:r>
    </w:p>
    <w:p>
      <w:pPr>
        <w:pStyle w:val="Heading2"/>
      </w:pPr>
      <w:r>
        <w:t>A.3 Sponsors entering public-market activism</w:t>
      </w:r>
    </w:p>
    <w:p>
      <w:r>
        <w:rPr>
          <w:b w:val="0"/>
          <w:i w:val="0"/>
        </w:rPr>
        <w:t>Governance commentators now track “occasional activists” — sponsors and strategics using activist tactics — as a defining trend of the 2025–26 cycle. The pattern: a modest minority stake plus operating credibility converts into board influence within months, often alongside or after a conventional activist.</w:t>
      </w:r>
    </w:p>
    <w:p>
      <w:pPr>
        <w:pStyle w:val="Heading3"/>
      </w:pPr>
      <w:r>
        <w:t>KKR – Henry Schein (2024–26): the full template, step by step</w:t>
      </w:r>
    </w:p>
    <w:p>
      <w:pPr>
        <w:pStyle w:val="ListBullet"/>
        <w:spacing w:after="80"/>
      </w:pPr>
      <w:r>
        <w:rPr>
          <w:b/>
        </w:rPr>
        <w:t xml:space="preserve">Step 1 — activist opens (Nov 2024): </w:t>
      </w:r>
      <w:r>
        <w:t>Ananym Capital discloses a position in the US dental/medical distributor and presses for board refreshment, cost reduction, a CEO succession plan (Stanley Bergman had led since 1989) and a review of the medical distribution business.</w:t>
      </w:r>
    </w:p>
    <w:p>
      <w:pPr>
        <w:pStyle w:val="ListBullet"/>
        <w:spacing w:after="80"/>
      </w:pPr>
      <w:r>
        <w:rPr>
          <w:b/>
        </w:rPr>
        <w:t xml:space="preserve">Step 2 — sponsor enters (Jan 2025): </w:t>
      </w:r>
      <w:r>
        <w:t>Henry Schein announces a USD 250m strategic investment from KKR plus two board seats — Dan Daniel (ex-Danaher EVP) and Max Lin (head of KKR Americas healthcare) — with clearance to buy in the open market to 14.9%. The activist publicly supports the outcome.</w:t>
      </w:r>
    </w:p>
    <w:p>
      <w:pPr>
        <w:pStyle w:val="ListBullet"/>
        <w:spacing w:after="80"/>
      </w:pPr>
      <w:r>
        <w:rPr>
          <w:b/>
        </w:rPr>
        <w:t xml:space="preserve">Step 3 — influence converts (2025–26): </w:t>
      </w:r>
      <w:r>
        <w:t>investment completes May 2025 with KKR at ~12%; Bergman announces retirement in July 2025; Frederick Lowery (ex-Thermo Fisher EVP) is appointed CEO effective March 2026; Dan Daniel — KKR's nominee — becomes Independent Chairman in May 2026; the 2026 proxy shows KKR at 16.4% and a smaller board.</w:t>
      </w:r>
    </w:p>
    <w:p>
      <w:pPr>
        <w:pStyle w:val="ListBullet"/>
        <w:spacing w:after="80"/>
      </w:pPr>
      <w:r>
        <w:rPr>
          <w:b/>
        </w:rPr>
        <w:t xml:space="preserve">Read-across: </w:t>
      </w:r>
      <w:r>
        <w:t>in roughly fifteen months a sponsor went from zero to largest active shareholder, the chairmanship, a hand-picked CEO transition and a reshaped board — without a tender offer, in our core healthcare distribution sector. This is the playbook this strategy industrialises.</w:t>
      </w:r>
    </w:p>
    <w:p>
      <w:pPr>
        <w:pStyle w:val="Heading3"/>
      </w:pPr>
      <w:r>
        <w:t>Other sponsor entries</w:t>
      </w:r>
    </w:p>
    <w:p>
      <w:pPr>
        <w:pStyle w:val="ListBullet"/>
        <w:spacing w:after="80"/>
      </w:pPr>
      <w:r>
        <w:rPr>
          <w:b/>
        </w:rPr>
        <w:t xml:space="preserve">KKR – US Foods (2020–22). </w:t>
      </w:r>
      <w:r>
        <w:t>USD 500m convertible preferred PIPE at the COVID trough (April 2020) with a board seat, entering alongside activist pressure (Sachem Head separately won representation). Patient capital into a dislocated quality franchise; exited into the recovery with strong reported returns.</w:t>
      </w:r>
    </w:p>
    <w:p>
      <w:pPr>
        <w:pStyle w:val="ListBullet"/>
        <w:spacing w:after="80"/>
      </w:pPr>
      <w:r>
        <w:rPr>
          <w:b/>
        </w:rPr>
        <w:t xml:space="preserve">Silver Lake – Twitter (2020). </w:t>
      </w:r>
      <w:r>
        <w:t>USD 1bn convertible plus a board seat for Egon Durban, negotiated in the middle of Elliott's campaign — sponsor capital arriving as the stabilising partner in an activist situation, the same dual role Nordic Capital can play.</w:t>
      </w:r>
    </w:p>
    <w:p>
      <w:pPr>
        <w:pStyle w:val="ListBullet"/>
        <w:spacing w:after="80"/>
      </w:pPr>
      <w:r>
        <w:rPr>
          <w:b/>
        </w:rPr>
        <w:t xml:space="preserve">Silver Lake &amp; Apollo – Expedia (2020). </w:t>
      </w:r>
      <w:r>
        <w:t>USD 1.2bn of preferred plus warrants with board representation in a crisis raise — speed and governance through the board, not control.</w:t>
      </w:r>
    </w:p>
    <w:p>
      <w:pPr>
        <w:pStyle w:val="ListBullet"/>
        <w:spacing w:after="80"/>
      </w:pPr>
      <w:r>
        <w:rPr>
          <w:b/>
        </w:rPr>
        <w:t xml:space="preserve">Apollo – Western Digital (2023–25). </w:t>
      </w:r>
      <w:r>
        <w:t>USD 900m convertible preferred while Elliott publicly pushed the flash/HDD separation; the SanDisk spin completed in February 2025. Structured sponsor capital riding an activist catalyst to completion.</w:t>
      </w:r>
    </w:p>
    <w:p>
      <w:pPr>
        <w:pStyle w:val="ListBullet"/>
        <w:spacing w:after="80"/>
      </w:pPr>
      <w:r>
        <w:rPr>
          <w:b/>
        </w:rPr>
        <w:t xml:space="preserve">Warburg Pincus – ESR Group (2022–25). </w:t>
      </w:r>
      <w:r>
        <w:t>Co-founder and long-time large minority holder of the HK-listed logistics platform, ultimately co-leading the ~USD 7bn take-private consortium (with Starwood and others), delisted 2025 — the toehold-to-buyout path this strategy's take-private protocol formalises.</w:t>
      </w:r>
    </w:p>
    <w:p>
      <w:pPr>
        <w:pStyle w:val="ListBullet"/>
        <w:spacing w:after="80"/>
      </w:pPr>
      <w:r>
        <w:rPr>
          <w:b/>
        </w:rPr>
        <w:t xml:space="preserve">Read-across: </w:t>
      </w:r>
      <w:r>
        <w:t>operating credibility plus board seats is the winning currency of the universal-proxy era; sponsors are arriving now, and the toehold-to-influence (occasionally to-control) path is repeatable. Nordic Capital would be early among European sponsors — but not first in the world, which de-risks the LP conversation.</w:t>
      </w:r>
    </w:p>
    <w:p>
      <w:pPr>
        <w:pStyle w:val="Heading2"/>
      </w:pPr>
      <w:r>
        <w:t>A.4 Other relevant signals</w:t>
      </w:r>
    </w:p>
    <w:p>
      <w:pPr>
        <w:pStyle w:val="ListBullet"/>
        <w:spacing w:after="80"/>
      </w:pPr>
      <w:r>
        <w:rPr>
          <w:b/>
        </w:rPr>
        <w:t xml:space="preserve">Triton – Caverion (FI, 2022–23) — the Nordic take-private bidding war: </w:t>
      </w:r>
      <w:r>
        <w:t>a Bain Capital-led consortium (North Holdings) launched a tender offer for the Finnish building-services group in November 2022; Triton's Crayfish BidCo countered in January 2023 at ~EUR 1.09bn; Bain improved on 24 January; Triton improved again on 24 February to ~EUR 1.22bn equity value. Bain's matching right expired on 4 April 2023 without a raise, the board switched its recommendation to Triton, and the offer was declared unconditional in October 2023 (with a minor FCCA remedy). Evidence that listed Nordic mid-caps can ignite sponsor bidding wars — a toehold position participates in that premium escalation rather than paying it.</w:t>
      </w:r>
    </w:p>
    <w:p>
      <w:pPr>
        <w:pStyle w:val="ListBullet"/>
        <w:spacing w:after="80"/>
      </w:pPr>
      <w:r>
        <w:rPr>
          <w:b/>
        </w:rPr>
        <w:t xml:space="preserve">Active Value Partners (2026): </w:t>
      </w:r>
      <w:r>
        <w:t>ex-Cevian partners launched a Nordic/European engagement strategy, confirming institutional LP appetite — and starting the clock on the competitive window this proposal addresses.</w:t>
      </w:r>
    </w:p>
    <w:p>
      <w:r>
        <w:br w:type="page"/>
      </w:r>
    </w:p>
    <w:p>
      <w:pPr>
        <w:pStyle w:val="Heading2"/>
      </w:pPr>
      <w:r>
        <w:t>A.5 Case Study: The New-Generation Strategic Activists — Irenic &amp; Ananym</w:t>
      </w:r>
    </w:p>
    <w:p>
      <w:r>
        <w:rPr>
          <w:b w:val="0"/>
          <w:i w:val="0"/>
        </w:rPr>
        <w:t>Two recently launched US activists, both founded by alumni of the firms whose DNA this strategy draws on (Elliott, JANA, Engine No. 1), are the clearest live evidence that a concentrated, separation-and-sale “strategic activism” book — precisely the conglomerate / SOTP archetype in Section 4.3 — works at the EUR/USD mid-cap scale this fund targets. They are both a competitive benchmark and a recruiting/idea-sourcing map. Notably, both are spiritually adjacent to Knut Nyman's own Elliott lineage.</w:t>
      </w:r>
    </w:p>
    <w:p>
      <w:pPr>
        <w:pStyle w:val="Heading3"/>
      </w:pPr>
      <w:r>
        <w:t>A.5.1 Irenic Capital Management</w:t>
      </w:r>
    </w:p>
    <w:p>
      <w:pPr>
        <w:pStyle w:val="ListBullet"/>
        <w:spacing w:after="80"/>
      </w:pPr>
      <w:r>
        <w:rPr>
          <w:b/>
        </w:rPr>
        <w:t xml:space="preserve">Founded: </w:t>
      </w:r>
      <w:r>
        <w:t>October 2021 by Adam Katz (former Associate Portfolio Manager at Elliott Management, where he ran public-equity activism, PE and distressed situations exceeding USD 1bn) and Andy Dodge (former investment partner at Indaba Capital, now Director of Research).</w:t>
      </w:r>
    </w:p>
    <w:p>
      <w:pPr>
        <w:pStyle w:val="ListBullet"/>
        <w:spacing w:after="80"/>
      </w:pPr>
      <w:r>
        <w:rPr>
          <w:b/>
        </w:rPr>
        <w:t xml:space="preserve">Scale &amp; performance: </w:t>
      </w:r>
      <w:r>
        <w:t>launched with ~USD 335m; ~USD 2.5bn AUM by March 2026. Hedge fund (live since August 2022) reportedly +14% (2023), +19% (2024), +17% (2025); a top-ten activist by campaign count in 2025 (Barclays). Now extending into private equity (hired an ex-Apollo partner) and a ~USD 220m industrials SPAC.</w:t>
      </w:r>
    </w:p>
    <w:p>
      <w:pPr>
        <w:pStyle w:val="ListBullet"/>
        <w:spacing w:after="80"/>
      </w:pPr>
      <w:r>
        <w:rPr>
          <w:b/>
        </w:rPr>
        <w:t xml:space="preserve">Strategy: </w:t>
      </w:r>
      <w:r>
        <w:t>“strategic activism” — almost always a sum-of-the-parts thesis resolved by a spin-off, divestiture or outright sale, pursued constructively first and via board settlements rather than scorched-earth proxy fights. Sector-agnostic but tilted to industrials, media and software.</w:t>
      </w:r>
    </w:p>
    <w:p>
      <w:r>
        <w:rPr>
          <w:b/>
          <w:i w:val="0"/>
        </w:rPr>
        <w:t>Selected campaigns and theses: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B2545"/>
          </w:tcPr>
          <w:p>
            <w:r/>
            <w:r>
              <w:rPr>
                <w:b/>
                <w:color w:val="FFFFFF"/>
                <w:sz w:val="19"/>
              </w:rPr>
              <w:t>Company (year)</w:t>
            </w:r>
          </w:p>
        </w:tc>
        <w:tc>
          <w:tcPr>
            <w:tcW w:type="dxa" w:w="2016"/>
            <w:shd w:fill="0B2545"/>
          </w:tcPr>
          <w:p>
            <w:r/>
            <w:r>
              <w:rPr>
                <w:b/>
                <w:color w:val="FFFFFF"/>
                <w:sz w:val="19"/>
              </w:rPr>
              <w:t>Sector</w:t>
            </w:r>
          </w:p>
        </w:tc>
        <w:tc>
          <w:tcPr>
            <w:tcW w:type="dxa" w:w="3456"/>
            <w:shd w:fill="0B2545"/>
          </w:tcPr>
          <w:p>
            <w:r/>
            <w:r>
              <w:rPr>
                <w:b/>
                <w:color w:val="FFFFFF"/>
                <w:sz w:val="19"/>
              </w:rPr>
              <w:t>Thesis / demand</w:t>
            </w:r>
          </w:p>
        </w:tc>
        <w:tc>
          <w:tcPr>
            <w:tcW w:type="dxa" w:w="2160"/>
            <w:shd w:fill="0B2545"/>
          </w:tcPr>
          <w:p>
            <w:r/>
            <w:r>
              <w:rPr>
                <w:b/>
                <w:color w:val="FFFFFF"/>
                <w:sz w:val="19"/>
              </w:rPr>
              <w:t>Outcome to date</w:t>
            </w:r>
          </w:p>
        </w:tc>
      </w:tr>
      <w:tr>
        <w:tc>
          <w:tcPr>
            <w:tcW w:type="dxa" w:w="2160"/>
          </w:tcPr>
          <w:p>
            <w:r/>
            <w:r>
              <w:rPr>
                <w:sz w:val="19"/>
              </w:rPr>
              <w:t>Barnes Group (2022)</w:t>
            </w:r>
          </w:p>
        </w:tc>
        <w:tc>
          <w:tcPr>
            <w:tcW w:type="dxa" w:w="2016"/>
          </w:tcPr>
          <w:p>
            <w:r/>
            <w:r>
              <w:rPr>
                <w:sz w:val="19"/>
              </w:rPr>
              <w:t>Aerospace &amp; industrial</w:t>
            </w:r>
          </w:p>
        </w:tc>
        <w:tc>
          <w:tcPr>
            <w:tcW w:type="dxa" w:w="3456"/>
          </w:tcPr>
          <w:p>
            <w:r/>
            <w:r>
              <w:rPr>
                <w:sz w:val="19"/>
              </w:rPr>
              <w:t>SOTP discount; aerospace unit alone worth more than the whole company; push for sale or separation (~$60/share, ~2x).</w:t>
            </w:r>
          </w:p>
        </w:tc>
        <w:tc>
          <w:tcPr>
            <w:tcW w:type="dxa" w:w="2160"/>
          </w:tcPr>
          <w:p>
            <w:r/>
            <w:r>
              <w:rPr>
                <w:sz w:val="19"/>
              </w:rPr>
              <w:t>Won board representation (2024); company later sold to Apollo — thesis realised.</w:t>
            </w:r>
          </w:p>
        </w:tc>
      </w:tr>
      <w:tr>
        <w:tc>
          <w:tcPr>
            <w:tcW w:type="dxa" w:w="2160"/>
            <w:shd w:fill="F2F4F8"/>
          </w:tcPr>
          <w:p>
            <w:r/>
            <w:r>
              <w:rPr>
                <w:sz w:val="19"/>
              </w:rPr>
              <w:t>News Corp (2022–24)</w:t>
            </w:r>
          </w:p>
        </w:tc>
        <w:tc>
          <w:tcPr>
            <w:tcW w:type="dxa" w:w="2016"/>
            <w:shd w:fill="F2F4F8"/>
          </w:tcPr>
          <w:p>
            <w:r/>
            <w:r>
              <w:rPr>
                <w:sz w:val="19"/>
              </w:rPr>
              <w:t>Media &amp; online real estate</w:t>
            </w:r>
          </w:p>
        </w:tc>
        <w:tc>
          <w:tcPr>
            <w:tcW w:type="dxa" w:w="3456"/>
            <w:shd w:fill="F2F4F8"/>
          </w:tcPr>
          <w:p>
            <w:r/>
            <w:r>
              <w:rPr>
                <w:sz w:val="19"/>
              </w:rPr>
              <w:t>Separate the online real estate assets (REA/Move) from media; opposed the proposed Fox recombination; later backed collapsing the dual-class structure.</w:t>
            </w:r>
          </w:p>
        </w:tc>
        <w:tc>
          <w:tcPr>
            <w:tcW w:type="dxa" w:w="2160"/>
            <w:shd w:fill="F2F4F8"/>
          </w:tcPr>
          <w:p>
            <w:r/>
            <w:r>
              <w:rPr>
                <w:sz w:val="19"/>
              </w:rPr>
              <w:t>Forced a special-committee review; Fox merger abandoned; dual-class fight ongoing.</w:t>
            </w:r>
          </w:p>
        </w:tc>
      </w:tr>
      <w:tr>
        <w:tc>
          <w:tcPr>
            <w:tcW w:type="dxa" w:w="2160"/>
          </w:tcPr>
          <w:p>
            <w:r/>
            <w:r>
              <w:rPr>
                <w:sz w:val="19"/>
              </w:rPr>
              <w:t>Forward Air (2023–24)</w:t>
            </w:r>
          </w:p>
        </w:tc>
        <w:tc>
          <w:tcPr>
            <w:tcW w:type="dxa" w:w="2016"/>
          </w:tcPr>
          <w:p>
            <w:r/>
            <w:r>
              <w:rPr>
                <w:sz w:val="19"/>
              </w:rPr>
              <w:t>Freight / logistics</w:t>
            </w:r>
          </w:p>
        </w:tc>
        <w:tc>
          <w:tcPr>
            <w:tcW w:type="dxa" w:w="3456"/>
          </w:tcPr>
          <w:p>
            <w:r/>
            <w:r>
              <w:rPr>
                <w:sz w:val="19"/>
              </w:rPr>
              <w:t>Opposed the dilutive Omni Logistics deal; pushed for a sale process and board change.</w:t>
            </w:r>
          </w:p>
        </w:tc>
        <w:tc>
          <w:tcPr>
            <w:tcW w:type="dxa" w:w="2160"/>
          </w:tcPr>
          <w:p>
            <w:r/>
            <w:r>
              <w:rPr>
                <w:sz w:val="19"/>
              </w:rPr>
              <w:t>Strategic review and board changes followed.</w:t>
            </w:r>
          </w:p>
        </w:tc>
      </w:tr>
      <w:tr>
        <w:tc>
          <w:tcPr>
            <w:tcW w:type="dxa" w:w="2160"/>
            <w:shd w:fill="F2F4F8"/>
          </w:tcPr>
          <w:p>
            <w:r/>
            <w:r>
              <w:rPr>
                <w:sz w:val="19"/>
              </w:rPr>
              <w:t>FD Technologies (2023)</w:t>
            </w:r>
          </w:p>
        </w:tc>
        <w:tc>
          <w:tcPr>
            <w:tcW w:type="dxa" w:w="2016"/>
            <w:shd w:fill="F2F4F8"/>
          </w:tcPr>
          <w:p>
            <w:r/>
            <w:r>
              <w:rPr>
                <w:sz w:val="19"/>
              </w:rPr>
              <w:t>Software &amp; data (UK/IE)</w:t>
            </w:r>
          </w:p>
        </w:tc>
        <w:tc>
          <w:tcPr>
            <w:tcW w:type="dxa" w:w="3456"/>
            <w:shd w:fill="F2F4F8"/>
          </w:tcPr>
          <w:p>
            <w:r/>
            <w:r>
              <w:rPr>
                <w:sz w:val="19"/>
              </w:rPr>
              <w:t>Separate KX (analytics) from First Derivatives services; unlock the sum-of-the-parts.</w:t>
            </w:r>
          </w:p>
        </w:tc>
        <w:tc>
          <w:tcPr>
            <w:tcW w:type="dxa" w:w="2160"/>
            <w:shd w:fill="F2F4F8"/>
          </w:tcPr>
          <w:p>
            <w:r/>
            <w:r>
              <w:rPr>
                <w:sz w:val="19"/>
              </w:rPr>
              <w:t>Company pursued break-up / asset sales.</w:t>
            </w:r>
          </w:p>
        </w:tc>
      </w:tr>
      <w:tr>
        <w:tc>
          <w:tcPr>
            <w:tcW w:type="dxa" w:w="2160"/>
          </w:tcPr>
          <w:p>
            <w:r/>
            <w:r>
              <w:rPr>
                <w:sz w:val="19"/>
              </w:rPr>
              <w:t>Reservoir Media (2024–26)</w:t>
            </w:r>
          </w:p>
        </w:tc>
        <w:tc>
          <w:tcPr>
            <w:tcW w:type="dxa" w:w="2016"/>
          </w:tcPr>
          <w:p>
            <w:r/>
            <w:r>
              <w:rPr>
                <w:sz w:val="19"/>
              </w:rPr>
              <w:t>Music rights</w:t>
            </w:r>
          </w:p>
        </w:tc>
        <w:tc>
          <w:tcPr>
            <w:tcW w:type="dxa" w:w="3456"/>
          </w:tcPr>
          <w:p>
            <w:r/>
            <w:r>
              <w:rPr>
                <w:sz w:val="19"/>
              </w:rPr>
              <w:t>Full strategic review; special committee; later an unsolicited takeover approach from Irenic itself.</w:t>
            </w:r>
          </w:p>
        </w:tc>
        <w:tc>
          <w:tcPr>
            <w:tcW w:type="dxa" w:w="2160"/>
          </w:tcPr>
          <w:p>
            <w:r/>
            <w:r>
              <w:rPr>
                <w:sz w:val="19"/>
              </w:rPr>
              <w:t>Review initiated; situation ongoing.</w:t>
            </w:r>
          </w:p>
        </w:tc>
      </w:tr>
      <w:tr>
        <w:tc>
          <w:tcPr>
            <w:tcW w:type="dxa" w:w="2160"/>
            <w:shd w:fill="F2F4F8"/>
          </w:tcPr>
          <w:p>
            <w:r/>
            <w:r>
              <w:rPr>
                <w:sz w:val="19"/>
              </w:rPr>
              <w:t>Atkore (2025)</w:t>
            </w:r>
          </w:p>
        </w:tc>
        <w:tc>
          <w:tcPr>
            <w:tcW w:type="dxa" w:w="2016"/>
            <w:shd w:fill="F2F4F8"/>
          </w:tcPr>
          <w:p>
            <w:r/>
            <w:r>
              <w:rPr>
                <w:sz w:val="19"/>
              </w:rPr>
              <w:t>Electrical products</w:t>
            </w:r>
          </w:p>
        </w:tc>
        <w:tc>
          <w:tcPr>
            <w:tcW w:type="dxa" w:w="3456"/>
            <w:shd w:fill="F2F4F8"/>
          </w:tcPr>
          <w:p>
            <w:r/>
            <w:r>
              <w:rPr>
                <w:sz w:val="19"/>
              </w:rPr>
              <w:t>~2.5% stake; pursue a sale process at a depressed multiple.</w:t>
            </w:r>
          </w:p>
        </w:tc>
        <w:tc>
          <w:tcPr>
            <w:tcW w:type="dxa" w:w="2160"/>
            <w:shd w:fill="F2F4F8"/>
          </w:tcPr>
          <w:p>
            <w:r/>
            <w:r>
              <w:rPr>
                <w:sz w:val="19"/>
              </w:rPr>
              <w:t>Engagement ongoing.</w:t>
            </w:r>
          </w:p>
        </w:tc>
      </w:tr>
      <w:tr>
        <w:tc>
          <w:tcPr>
            <w:tcW w:type="dxa" w:w="2160"/>
          </w:tcPr>
          <w:p>
            <w:r/>
            <w:r>
              <w:rPr>
                <w:sz w:val="19"/>
              </w:rPr>
              <w:t>Workiva (2025)</w:t>
            </w:r>
          </w:p>
        </w:tc>
        <w:tc>
          <w:tcPr>
            <w:tcW w:type="dxa" w:w="2016"/>
          </w:tcPr>
          <w:p>
            <w:r/>
            <w:r>
              <w:rPr>
                <w:sz w:val="19"/>
              </w:rPr>
              <w:t>Vertical SaaS</w:t>
            </w:r>
          </w:p>
        </w:tc>
        <w:tc>
          <w:tcPr>
            <w:tcW w:type="dxa" w:w="3456"/>
          </w:tcPr>
          <w:p>
            <w:r/>
            <w:r>
              <w:rPr>
                <w:sz w:val="19"/>
              </w:rPr>
              <w:t>~2% stake; operational improvement, margin discipline, two board seats.</w:t>
            </w:r>
          </w:p>
        </w:tc>
        <w:tc>
          <w:tcPr>
            <w:tcW w:type="dxa" w:w="2160"/>
          </w:tcPr>
          <w:p>
            <w:r/>
            <w:r>
              <w:rPr>
                <w:sz w:val="19"/>
              </w:rPr>
              <w:t>Engagement ongoing.</w:t>
            </w:r>
          </w:p>
        </w:tc>
      </w:tr>
      <w:tr>
        <w:tc>
          <w:tcPr>
            <w:tcW w:type="dxa" w:w="2160"/>
            <w:shd w:fill="F2F4F8"/>
          </w:tcPr>
          <w:p>
            <w:r/>
            <w:r>
              <w:rPr>
                <w:sz w:val="19"/>
              </w:rPr>
              <w:t>Integer Holdings (2026)</w:t>
            </w:r>
          </w:p>
        </w:tc>
        <w:tc>
          <w:tcPr>
            <w:tcW w:type="dxa" w:w="2016"/>
            <w:shd w:fill="F2F4F8"/>
          </w:tcPr>
          <w:p>
            <w:r/>
            <w:r>
              <w:rPr>
                <w:sz w:val="19"/>
              </w:rPr>
              <w:t>Medtech (contract mfg.)</w:t>
            </w:r>
          </w:p>
        </w:tc>
        <w:tc>
          <w:tcPr>
            <w:tcW w:type="dxa" w:w="3456"/>
            <w:shd w:fill="F2F4F8"/>
          </w:tcPr>
          <w:p>
            <w:r/>
            <w:r>
              <w:rPr>
                <w:sz w:val="19"/>
              </w:rPr>
              <w:t>&gt;3% stake; board refresh and explore a sale.</w:t>
            </w:r>
          </w:p>
        </w:tc>
        <w:tc>
          <w:tcPr>
            <w:tcW w:type="dxa" w:w="2160"/>
            <w:shd w:fill="F2F4F8"/>
          </w:tcPr>
          <w:p>
            <w:r/>
            <w:r>
              <w:rPr>
                <w:sz w:val="19"/>
              </w:rPr>
              <w:t>Two directors added (Mar 2026); board launched a strategic review (Apr 2026).</w:t>
            </w:r>
          </w:p>
        </w:tc>
      </w:tr>
      <w:tr>
        <w:tc>
          <w:tcPr>
            <w:tcW w:type="dxa" w:w="2160"/>
          </w:tcPr>
          <w:p>
            <w:r/>
            <w:r>
              <w:rPr>
                <w:sz w:val="19"/>
              </w:rPr>
              <w:t>Snap (2026)</w:t>
            </w:r>
          </w:p>
        </w:tc>
        <w:tc>
          <w:tcPr>
            <w:tcW w:type="dxa" w:w="2016"/>
          </w:tcPr>
          <w:p>
            <w:r/>
            <w:r>
              <w:rPr>
                <w:sz w:val="19"/>
              </w:rPr>
              <w:t>Social media / tech</w:t>
            </w:r>
          </w:p>
        </w:tc>
        <w:tc>
          <w:tcPr>
            <w:tcW w:type="dxa" w:w="3456"/>
          </w:tcPr>
          <w:p>
            <w:r/>
            <w:r>
              <w:rPr>
                <w:sz w:val="19"/>
              </w:rPr>
              <w:t>Cost rationalisation and a more disciplined AI-spend narrative.</w:t>
            </w:r>
          </w:p>
        </w:tc>
        <w:tc>
          <w:tcPr>
            <w:tcW w:type="dxa" w:w="2160"/>
          </w:tcPr>
          <w:p>
            <w:r/>
            <w:r>
              <w:rPr>
                <w:sz w:val="19"/>
              </w:rPr>
              <w:t>Stake disclosed; engagement early.</w:t>
            </w:r>
          </w:p>
        </w:tc>
      </w:tr>
      <w:tr>
        <w:tc>
          <w:tcPr>
            <w:tcW w:type="dxa" w:w="2160"/>
            <w:shd w:fill="F2F4F8"/>
          </w:tcPr>
          <w:p>
            <w:r/>
            <w:r>
              <w:rPr>
                <w:sz w:val="19"/>
              </w:rPr>
              <w:t>HPE (2026)</w:t>
            </w:r>
          </w:p>
        </w:tc>
        <w:tc>
          <w:tcPr>
            <w:tcW w:type="dxa" w:w="2016"/>
            <w:shd w:fill="F2F4F8"/>
          </w:tcPr>
          <w:p>
            <w:r/>
            <w:r>
              <w:rPr>
                <w:sz w:val="19"/>
              </w:rPr>
              <w:t>Enterprise tech</w:t>
            </w:r>
          </w:p>
        </w:tc>
        <w:tc>
          <w:tcPr>
            <w:tcW w:type="dxa" w:w="3456"/>
            <w:shd w:fill="F2F4F8"/>
          </w:tcPr>
          <w:p>
            <w:r/>
            <w:r>
              <w:rPr>
                <w:sz w:val="19"/>
              </w:rPr>
              <w:t>Joined Elliott in pressing for value-creating change.</w:t>
            </w:r>
          </w:p>
        </w:tc>
        <w:tc>
          <w:tcPr>
            <w:tcW w:type="dxa" w:w="2160"/>
            <w:shd w:fill="F2F4F8"/>
          </w:tcPr>
          <w:p>
            <w:r/>
            <w:r>
              <w:rPr>
                <w:sz w:val="19"/>
              </w:rPr>
              <w:t>Multi-activist situation; ongoing.</w:t>
            </w:r>
          </w:p>
        </w:tc>
      </w:tr>
    </w:tbl>
    <w:p/>
    <w:p>
      <w:pPr>
        <w:pStyle w:val="Heading3"/>
      </w:pPr>
      <w:r>
        <w:t>A.5.2 Ananym Capital Management</w:t>
      </w:r>
    </w:p>
    <w:p>
      <w:pPr>
        <w:pStyle w:val="ListBullet"/>
        <w:spacing w:after="80"/>
      </w:pPr>
      <w:r>
        <w:rPr>
          <w:b/>
        </w:rPr>
        <w:t xml:space="preserve">Founded: </w:t>
      </w:r>
      <w:r>
        <w:t>launched 3 September 2024 by Charlie Penner (former JANA Partners partner; as head of activism at Engine No. 1 he led the landmark 2021 campaign that won three Exxon Mobil board seats) and Alex Silver (former partner and investment-committee member at P2 Capital Partners).</w:t>
      </w:r>
    </w:p>
    <w:p>
      <w:pPr>
        <w:pStyle w:val="ListBullet"/>
        <w:spacing w:after="80"/>
      </w:pPr>
      <w:r>
        <w:rPr>
          <w:b/>
        </w:rPr>
        <w:t xml:space="preserve">Scale: </w:t>
      </w:r>
      <w:r>
        <w:t>~USD 260m across ~10 concentrated positions (per 13F). Deliberately small and high-conviction.</w:t>
      </w:r>
    </w:p>
    <w:p>
      <w:pPr>
        <w:pStyle w:val="ListBullet"/>
        <w:spacing w:after="80"/>
      </w:pPr>
      <w:r>
        <w:rPr>
          <w:b/>
        </w:rPr>
        <w:t xml:space="preserve">Strategy: </w:t>
      </w:r>
      <w:r>
        <w:t>“high-quality but undervalued companies, regardless of industry,” almost always carrying a separation or operational-fix thesis. Prefers to work constructively but has shown it will run a full proxy fight — Penner's Exxon pedigree makes that threat unusually credible.</w:t>
      </w:r>
    </w:p>
    <w:p>
      <w:r>
        <w:rPr>
          <w:b/>
          <w:i w:val="0"/>
        </w:rPr>
        <w:t>Selected campaigns and theses: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B2545"/>
          </w:tcPr>
          <w:p>
            <w:r/>
            <w:r>
              <w:rPr>
                <w:b/>
                <w:color w:val="FFFFFF"/>
                <w:sz w:val="19"/>
              </w:rPr>
              <w:t>Company (year)</w:t>
            </w:r>
          </w:p>
        </w:tc>
        <w:tc>
          <w:tcPr>
            <w:tcW w:type="dxa" w:w="2160"/>
            <w:shd w:fill="0B2545"/>
          </w:tcPr>
          <w:p>
            <w:r/>
            <w:r>
              <w:rPr>
                <w:b/>
                <w:color w:val="FFFFFF"/>
                <w:sz w:val="19"/>
              </w:rPr>
              <w:t>Sector</w:t>
            </w:r>
          </w:p>
        </w:tc>
        <w:tc>
          <w:tcPr>
            <w:tcW w:type="dxa" w:w="3600"/>
            <w:shd w:fill="0B2545"/>
          </w:tcPr>
          <w:p>
            <w:r/>
            <w:r>
              <w:rPr>
                <w:b/>
                <w:color w:val="FFFFFF"/>
                <w:sz w:val="19"/>
              </w:rPr>
              <w:t>Thesis / demand</w:t>
            </w:r>
          </w:p>
        </w:tc>
        <w:tc>
          <w:tcPr>
            <w:tcW w:type="dxa" w:w="1872"/>
            <w:shd w:fill="0B2545"/>
          </w:tcPr>
          <w:p>
            <w:r/>
            <w:r>
              <w:rPr>
                <w:b/>
                <w:color w:val="FFFFFF"/>
                <w:sz w:val="19"/>
              </w:rPr>
              <w:t>Outcome to date</w:t>
            </w:r>
          </w:p>
        </w:tc>
      </w:tr>
      <w:tr>
        <w:tc>
          <w:tcPr>
            <w:tcW w:type="dxa" w:w="2160"/>
          </w:tcPr>
          <w:p>
            <w:r/>
            <w:r>
              <w:rPr>
                <w:sz w:val="19"/>
              </w:rPr>
              <w:t>Henry Schein (2024–25)</w:t>
            </w:r>
          </w:p>
        </w:tc>
        <w:tc>
          <w:tcPr>
            <w:tcW w:type="dxa" w:w="2160"/>
          </w:tcPr>
          <w:p>
            <w:r/>
            <w:r>
              <w:rPr>
                <w:sz w:val="19"/>
              </w:rPr>
              <w:t>Healthcare distribution</w:t>
            </w:r>
          </w:p>
        </w:tc>
        <w:tc>
          <w:tcPr>
            <w:tcW w:type="dxa" w:w="3600"/>
          </w:tcPr>
          <w:p>
            <w:r/>
            <w:r>
              <w:rPr>
                <w:sz w:val="19"/>
              </w:rPr>
              <w:t>Cost cuts, CEO succession (Bergman had led since 1989), capital-allocation discipline and board refresh; prepared a slate of up to six directors.</w:t>
            </w:r>
          </w:p>
        </w:tc>
        <w:tc>
          <w:tcPr>
            <w:tcW w:type="dxa" w:w="1872"/>
          </w:tcPr>
          <w:p>
            <w:r/>
            <w:r>
              <w:rPr>
                <w:sz w:val="19"/>
              </w:rPr>
              <w:t>Proxy threat catalysed the KKR “white knight” investment and board changes; Bergman succession executed (see A.3) — thesis largely realised.</w:t>
            </w:r>
          </w:p>
        </w:tc>
      </w:tr>
      <w:tr>
        <w:tc>
          <w:tcPr>
            <w:tcW w:type="dxa" w:w="2160"/>
            <w:shd w:fill="F2F4F8"/>
          </w:tcPr>
          <w:p>
            <w:r/>
            <w:r>
              <w:rPr>
                <w:sz w:val="19"/>
              </w:rPr>
              <w:t>Baker Hughes (2025)</w:t>
            </w:r>
          </w:p>
        </w:tc>
        <w:tc>
          <w:tcPr>
            <w:tcW w:type="dxa" w:w="2160"/>
            <w:shd w:fill="F2F4F8"/>
          </w:tcPr>
          <w:p>
            <w:r/>
            <w:r>
              <w:rPr>
                <w:sz w:val="19"/>
              </w:rPr>
              <w:t>Oilfield services &amp; energy tech</w:t>
            </w:r>
          </w:p>
        </w:tc>
        <w:tc>
          <w:tcPr>
            <w:tcW w:type="dxa" w:w="3600"/>
            <w:shd w:fill="F2F4F8"/>
          </w:tcPr>
          <w:p>
            <w:r/>
            <w:r>
              <w:rPr>
                <w:sz w:val="19"/>
              </w:rPr>
              <w:t>Spin off the oilfield services &amp; equipment (OFSE) business from the higher-multiple industrial/energy-tech segment; argued ≥60% upside.</w:t>
            </w:r>
          </w:p>
        </w:tc>
        <w:tc>
          <w:tcPr>
            <w:tcW w:type="dxa" w:w="1872"/>
            <w:shd w:fill="F2F4F8"/>
          </w:tcPr>
          <w:p>
            <w:r/>
            <w:r>
              <w:rPr>
                <w:sz w:val="19"/>
              </w:rPr>
              <w:t>Engagement public; situation ongoing.</w:t>
            </w:r>
          </w:p>
        </w:tc>
      </w:tr>
      <w:tr>
        <w:tc>
          <w:tcPr>
            <w:tcW w:type="dxa" w:w="2160"/>
          </w:tcPr>
          <w:p>
            <w:r/>
            <w:r>
              <w:rPr>
                <w:sz w:val="19"/>
              </w:rPr>
              <w:t>Siemens Energy (2025)</w:t>
            </w:r>
          </w:p>
        </w:tc>
        <w:tc>
          <w:tcPr>
            <w:tcW w:type="dxa" w:w="2160"/>
          </w:tcPr>
          <w:p>
            <w:r/>
            <w:r>
              <w:rPr>
                <w:sz w:val="19"/>
              </w:rPr>
              <w:t>Energy equipment (DE)</w:t>
            </w:r>
          </w:p>
        </w:tc>
        <w:tc>
          <w:tcPr>
            <w:tcW w:type="dxa" w:w="3600"/>
          </w:tcPr>
          <w:p>
            <w:r/>
            <w:r>
              <w:rPr>
                <w:sz w:val="19"/>
              </w:rPr>
              <w:t>Separate the loss-making wind business (Siemens Gamesa) from the strong grid/services franchise to stop the drag and re-rate the core.</w:t>
            </w:r>
          </w:p>
        </w:tc>
        <w:tc>
          <w:tcPr>
            <w:tcW w:type="dxa" w:w="1872"/>
          </w:tcPr>
          <w:p>
            <w:r/>
            <w:r>
              <w:rPr>
                <w:sz w:val="19"/>
              </w:rPr>
              <w:t>Engagement ongoing.</w:t>
            </w:r>
          </w:p>
        </w:tc>
      </w:tr>
      <w:tr>
        <w:tc>
          <w:tcPr>
            <w:tcW w:type="dxa" w:w="2160"/>
            <w:shd w:fill="F2F4F8"/>
          </w:tcPr>
          <w:p>
            <w:r/>
            <w:r>
              <w:rPr>
                <w:sz w:val="19"/>
              </w:rPr>
              <w:t>LKQ (2024–25)</w:t>
            </w:r>
          </w:p>
        </w:tc>
        <w:tc>
          <w:tcPr>
            <w:tcW w:type="dxa" w:w="2160"/>
            <w:shd w:fill="F2F4F8"/>
          </w:tcPr>
          <w:p>
            <w:r/>
            <w:r>
              <w:rPr>
                <w:sz w:val="19"/>
              </w:rPr>
              <w:t>Auto parts distribution</w:t>
            </w:r>
          </w:p>
        </w:tc>
        <w:tc>
          <w:tcPr>
            <w:tcW w:type="dxa" w:w="3600"/>
            <w:shd w:fill="F2F4F8"/>
          </w:tcPr>
          <w:p>
            <w:r/>
            <w:r>
              <w:rPr>
                <w:sz w:val="19"/>
              </w:rPr>
              <w:t>Divest the European operations to focus on the higher-return North American business; simplify and re-rate.</w:t>
            </w:r>
          </w:p>
        </w:tc>
        <w:tc>
          <w:tcPr>
            <w:tcW w:type="dxa" w:w="1872"/>
            <w:shd w:fill="F2F4F8"/>
          </w:tcPr>
          <w:p>
            <w:r/>
            <w:r>
              <w:rPr>
                <w:sz w:val="19"/>
              </w:rPr>
              <w:t>Renewed public push; engagement ongoing.</w:t>
            </w:r>
          </w:p>
        </w:tc>
      </w:tr>
    </w:tbl>
    <w:p/>
    <w:p>
      <w:r>
        <w:rPr>
          <w:b/>
          <w:i w:val="0"/>
        </w:rPr>
        <w:t>Read-across for this strategy.</w:t>
      </w:r>
    </w:p>
    <w:p>
      <w:pPr>
        <w:pStyle w:val="ListBullet"/>
        <w:spacing w:after="80"/>
      </w:pPr>
      <w:r>
        <w:t>Both firms validate the core engine of this proposal: a concentrated book of mid-cap, separation-and-sale theses, pursued constructively and resolved through board settlements, generates strong returns (Irenic's mid-to-high-teens net) and rapid AUM growth ($335m → $2.5bn in ~4 years).</w:t>
      </w:r>
    </w:p>
    <w:p>
      <w:pPr>
        <w:pStyle w:val="ListBullet"/>
        <w:spacing w:after="80"/>
      </w:pPr>
      <w:r>
        <w:t>Both are sector-agnostic but converge on conglomerate / SOTP situations — confirming the weighting of Section 4.3 and the M&amp;A-heavy campaign mix of the current cycle.</w:t>
      </w:r>
    </w:p>
    <w:p>
      <w:pPr>
        <w:pStyle w:val="ListBullet"/>
        <w:spacing w:after="80"/>
      </w:pPr>
      <w:r>
        <w:t>Both are run by alumni of the exact franchises whose playbook this fund imports (Elliott, JANA, Engine No. 1) — the same talent pool from which the US Campaign Principal (Knut Nyman) and the wider team would be drawn.</w:t>
      </w:r>
    </w:p>
    <w:p>
      <w:pPr>
        <w:pStyle w:val="ListBullet"/>
        <w:spacing w:after="80"/>
      </w:pPr>
      <w:r>
        <w:t>The key differentiator for Nordic Capital: Irenic and Ananym have the campaign craft but no operating platform, no European nomination-committee home field, and no buyout balance sheet to convert a public stake into a take-private. Nordic Capital Engaged Equities would combine their playbook with all three.</w:t>
      </w:r>
    </w:p>
    <w:p>
      <w:r>
        <w:br w:type="page"/>
      </w:r>
    </w:p>
    <w:p>
      <w:pPr>
        <w:pStyle w:val="Heading1"/>
      </w:pPr>
      <w:r>
        <w:t>Appendix B: Disclaimer</w:t>
      </w:r>
    </w:p>
    <w:p>
      <w:r>
        <w:rPr>
          <w:b w:val="0"/>
          <w:i/>
          <w:color w:val="595959"/>
          <w:sz w:val="18"/>
        </w:rPr>
        <w:t>This document is illustrative discussion material prepared for internal strategy purposes. All references to listed companies are based exclusively on publicly available information and do not constitute research, investment advice, or a recommendation or solicitation to buy or sell any security. Figures marked as estimates are directional and unaudited. Any launch of the strategy described would be subject to legal, regulatory, tax and conflicts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Georgia" w:hAnsi="Georgia"/>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Georgia" w:hAnsi="Georgia"/>
      <w:b/>
      <w:bCs/>
      <w:color w:val="0B254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Georgia" w:hAnsi="Georgia"/>
      <w:b/>
      <w:bCs/>
      <w:color w:val="C49A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