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i w:val="0"/>
          <w:color w:val="C49A3B"/>
          <w:sz w:val="20"/>
        </w:rPr>
        <w:t>STRICTLY PRIVATE &amp; CONFIDENTIAL</w:t>
      </w:r>
    </w:p>
    <w:p>
      <w:pPr>
        <w:jc w:val="center"/>
      </w:pPr>
      <w:r>
        <w:rPr>
          <w:b/>
          <w:i w:val="0"/>
          <w:color w:val="0B2545"/>
          <w:sz w:val="56"/>
        </w:rPr>
        <w:t>Nordic Capital Engaged Equities</w:t>
      </w:r>
    </w:p>
    <w:p>
      <w:pPr>
        <w:jc w:val="center"/>
      </w:pPr>
      <w:r>
        <w:rPr>
          <w:b w:val="0"/>
          <w:i w:val="0"/>
          <w:color w:val="595959"/>
          <w:sz w:val="28"/>
        </w:rPr>
        <w:t>A Constructive Activism Strategy for the Nordic Public Markets</w:t>
      </w:r>
    </w:p>
    <w:p/>
    <w:p>
      <w:pPr>
        <w:jc w:val="center"/>
      </w:pPr>
      <w:r>
        <w:rPr>
          <w:b w:val="0"/>
          <w:i/>
          <w:sz w:val="22"/>
        </w:rPr>
        <w:t>Proposal to launch a USD 1.5 billion engaged public-equities vehicle</w:t>
      </w:r>
    </w:p>
    <w:p/>
    <w:p/>
    <w:p/>
    <w:p/>
    <w:p/>
    <w:p/>
    <w:p/>
    <w:p/>
    <w:p>
      <w:pPr>
        <w:jc w:val="center"/>
      </w:pPr>
      <w:r>
        <w:rPr>
          <w:b w:val="0"/>
          <w:i w:val="0"/>
          <w:sz w:val="20"/>
        </w:rPr>
        <w:t>Prepared for: Managing Partner &amp; Executive Committee, Nordic Capital</w:t>
      </w:r>
    </w:p>
    <w:p>
      <w:pPr>
        <w:jc w:val="center"/>
      </w:pPr>
      <w:r>
        <w:rPr>
          <w:b w:val="0"/>
          <w:i w:val="0"/>
          <w:sz w:val="20"/>
        </w:rPr>
        <w:t>June 2026</w:t>
      </w:r>
    </w:p>
    <w:p>
      <w:pPr>
        <w:jc w:val="center"/>
      </w:pPr>
      <w:r>
        <w:rPr>
          <w:b w:val="0"/>
          <w:i/>
          <w:color w:val="595959"/>
          <w:sz w:val="17"/>
        </w:rPr>
        <w:t>Illustrative discussion material. Company references are based solely on public information and do not constitute investment recommendations.</w:t>
      </w:r>
    </w:p>
    <w:p>
      <w:r>
        <w:br w:type="page"/>
      </w:r>
    </w:p>
    <w:p>
      <w:pPr>
        <w:pStyle w:val="Heading1"/>
      </w:pPr>
      <w:r>
        <w:t>1. Executive Summary</w:t>
      </w:r>
    </w:p>
    <w:p>
      <w:r>
        <w:rPr>
          <w:b w:val="0"/>
          <w:i w:val="0"/>
        </w:rPr>
        <w:t>We propose that Nordic Capital launch a dedicated public-markets strategy — “Nordic Capital Engaged Equities” — a USD 1.5 billion (hard cap USD 2.0 billion) vehicle pursuing constructive activism in listed Nordic mid-caps. The strategy applies the firm's private equity value-creation playbook — operational improvement, portfolio simplification, disciplined capital allocation and strategic M&amp;A — to a concentrated book of 6–8 public companies where Nordic Capital takes 4–10% ownership stakes, secures nomination-committee and board influence, and drives a 2–4 year value plan.</w:t>
      </w:r>
    </w:p>
    <w:p>
      <w:pPr>
        <w:pStyle w:val="ListBullet"/>
        <w:spacing w:after="80"/>
      </w:pPr>
      <w:r>
        <w:rPr>
          <w:b/>
        </w:rPr>
        <w:t xml:space="preserve">The market gap is real. </w:t>
      </w:r>
      <w:r>
        <w:t>Cevian Capital has demonstrated for two decades that board-seat-driven engagement in Nordic and European equities generates durable alpha, yet dedicated Nordic activist capital remains scarce relative to the opportunity. The 2026 launch of Active Value Partners by former Cevian partners confirms growing institutional appetite for the space — and the window to establish the category-defining domestic franchise is open now.</w:t>
      </w:r>
    </w:p>
    <w:p>
      <w:pPr>
        <w:pStyle w:val="ListBullet"/>
        <w:spacing w:after="80"/>
      </w:pPr>
      <w:r>
        <w:rPr>
          <w:b/>
        </w:rPr>
        <w:t xml:space="preserve">Activism is at record levels and increasingly M&amp;A-driven. </w:t>
      </w:r>
      <w:r>
        <w:t>2025 was a record year for global shareholder campaigns, and an unusually high share of recent campaigns carry M&amp;A demands — terrain where a private equity sponsor has structural advantages no hedge-fund activist can match.</w:t>
      </w:r>
    </w:p>
    <w:p>
      <w:pPr>
        <w:pStyle w:val="ListBullet"/>
        <w:spacing w:after="80"/>
      </w:pPr>
      <w:r>
        <w:rPr>
          <w:b/>
        </w:rPr>
        <w:t xml:space="preserve">Nordic governance is structurally activist-friendly. </w:t>
      </w:r>
      <w:r>
        <w:t>Shareholder-elected nomination committees, low EGM thresholds (10% in Sweden), exceptional ownership transparency and a consensus-driven board culture mean a 5% holder can achieve influence that requires 15%+ and a proxy fight elsewhere.</w:t>
      </w:r>
    </w:p>
    <w:p>
      <w:pPr>
        <w:pStyle w:val="ListBullet"/>
        <w:spacing w:after="80"/>
      </w:pPr>
      <w:r>
        <w:rPr>
          <w:b/>
        </w:rPr>
        <w:t xml:space="preserve">Nordic Capital is uniquely positioned. </w:t>
      </w:r>
      <w:r>
        <w:t>Three decades of operating credibility, deep sector franchises in healthcare, technology &amp; payments, financial services and industrials, and an unrivalled network of Nordic chairs, CEOs and operating advisors. Critically, Nordic Capital will be received as a constructive domestic owner — not a foreign raider — which materially lowers the cost and friction of every campaign.</w:t>
      </w:r>
    </w:p>
    <w:p>
      <w:pPr>
        <w:pStyle w:val="ListBullet"/>
        <w:spacing w:after="80"/>
      </w:pPr>
      <w:r>
        <w:rPr>
          <w:b/>
        </w:rPr>
        <w:t xml:space="preserve">Strategic synergies compound the core P&amp;L. </w:t>
      </w:r>
      <w:r>
        <w:t>The public strategy becomes a pipeline for take-privates and structured PIPEs, a catalyst for carve-outs the buyout funds can acquire, and an extension of LP relationships into a new product line — diversifying fee streams beyond the flagship buyout franchise.</w:t>
      </w:r>
    </w:p>
    <w:p>
      <w:r>
        <w:rPr>
          <w:b w:val="0"/>
          <w:i w:val="0"/>
        </w:rPr>
        <w:t>We recommend a phased launch: internal approval and conflicts framework in H2 2026, a founding team of 10–12 led by a partner-level Head of Engaged Equities, a EUR 150–200m GP/employee seed commitment, first close of ~USD 750m in mid-2027 and stake-building timed to the Q3 ownership snapshots that determine 2028 AGM nomination committees. Target net returns of 15%+ over a cycle, with management economics accretive to the platform from year two.</w:t>
      </w:r>
    </w:p>
    <w:p>
      <w:r>
        <w:br w:type="page"/>
      </w:r>
    </w:p>
    <w:p>
      <w:pPr>
        <w:pStyle w:val="Heading1"/>
      </w:pPr>
      <w:r>
        <w:t>2. The Opportunity: Why Public-Market Activism, Why Now</w:t>
      </w:r>
    </w:p>
    <w:p>
      <w:pPr>
        <w:pStyle w:val="Heading2"/>
      </w:pPr>
      <w:r>
        <w:t>2.1 The valuation gap has become a strategic opening</w:t>
      </w:r>
    </w:p>
    <w:p>
      <w:r>
        <w:rPr>
          <w:b w:val="0"/>
          <w:i w:val="0"/>
        </w:rPr>
        <w:t>European equities continue to trade at a persistent discount to US peers, and Nordic mid-caps — under-covered after a decade of sell-side consolidation and MiFID II research unbundling — trade at a further discount to European large-caps despite superior governance and profitability. A meaningful cohort of quality Nordic franchises trades at 30–50% discounts to intrinsic value on sum-of-the-parts or normalised-margin bases. Public-market multiples for Nordic mid-caps sit well below the entry multiples Nordic Capital's buyout funds routinely pay in competitive private processes — in effect, the public market is offering the firm's core hunting ground at a discount, without an auction.</w:t>
      </w:r>
    </w:p>
    <w:p>
      <w:pPr>
        <w:pStyle w:val="Heading2"/>
      </w:pPr>
      <w:r>
        <w:t>2.2 Activism has gone mainstream — and M&amp;A-centric</w:t>
      </w:r>
    </w:p>
    <w:p>
      <w:pPr>
        <w:pStyle w:val="ListBullet"/>
        <w:spacing w:after="80"/>
      </w:pPr>
      <w:r>
        <w:t>2025 set a record for global activist campaigns, with activity broadening across geographies, market caps and campaign types.</w:t>
      </w:r>
    </w:p>
    <w:p>
      <w:pPr>
        <w:pStyle w:val="ListBullet"/>
        <w:spacing w:after="80"/>
      </w:pPr>
      <w:r>
        <w:t>In late 2025, roughly six in ten campaigns carried an M&amp;A thesis (break-ups, divestitures, sale processes) — the highest share in five years. M&amp;A-driven activism plays directly to a private equity sponsor's strengths: valuing businesses, running separations, and standing ready as a buyer or financing partner.</w:t>
      </w:r>
    </w:p>
    <w:p>
      <w:pPr>
        <w:pStyle w:val="ListBullet"/>
        <w:spacing w:after="80"/>
      </w:pPr>
      <w:r>
        <w:t>Universal owners (index funds, Nordic institutions, AP funds) increasingly support well-argued engagement agendas, lowering the vote-getting cost of campaigns.</w:t>
      </w:r>
    </w:p>
    <w:p>
      <w:pPr>
        <w:pStyle w:val="ListBullet"/>
        <w:spacing w:after="80"/>
      </w:pPr>
      <w:r>
        <w:t>Dedicated Nordic engagement capital remains thin: Cevian (pan-European, increasingly large-cap), a handful of small Nordic engagement funds, and episodic visits from US activists with limited local standing. The mid-cap segment (EUR 1–10bn) is structurally underserved.</w:t>
      </w:r>
    </w:p>
    <w:p>
      <w:pPr>
        <w:pStyle w:val="Heading2"/>
      </w:pPr>
      <w:r>
        <w:t>2.3 Why the Nordics are the best activism jurisdiction in the world</w:t>
      </w:r>
    </w:p>
    <w:p>
      <w:r>
        <w:rPr>
          <w:b w:val="0"/>
          <w:i w:val="0"/>
        </w:rPr>
        <w:t>The Nordic governance model was effectively designed for engaged ownership:</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B2545"/>
          </w:tcPr>
          <w:p>
            <w:r/>
            <w:r>
              <w:rPr>
                <w:b/>
                <w:color w:val="FFFFFF"/>
                <w:sz w:val="19"/>
              </w:rPr>
              <w:t>Feature</w:t>
            </w:r>
          </w:p>
        </w:tc>
        <w:tc>
          <w:tcPr>
            <w:tcW w:type="dxa" w:w="3888"/>
            <w:shd w:fill="0B2545"/>
          </w:tcPr>
          <w:p>
            <w:r/>
            <w:r>
              <w:rPr>
                <w:b/>
                <w:color w:val="FFFFFF"/>
                <w:sz w:val="19"/>
              </w:rPr>
              <w:t>Mechanism</w:t>
            </w:r>
          </w:p>
        </w:tc>
        <w:tc>
          <w:tcPr>
            <w:tcW w:type="dxa" w:w="3744"/>
            <w:shd w:fill="0B2545"/>
          </w:tcPr>
          <w:p>
            <w:r/>
            <w:r>
              <w:rPr>
                <w:b/>
                <w:color w:val="FFFFFF"/>
                <w:sz w:val="19"/>
              </w:rPr>
              <w:t>Implication for the strategy</w:t>
            </w:r>
          </w:p>
        </w:tc>
      </w:tr>
      <w:tr>
        <w:tc>
          <w:tcPr>
            <w:tcW w:type="dxa" w:w="2160"/>
          </w:tcPr>
          <w:p>
            <w:r/>
            <w:r>
              <w:rPr>
                <w:sz w:val="19"/>
              </w:rPr>
              <w:t>Nomination committees</w:t>
            </w:r>
          </w:p>
        </w:tc>
        <w:tc>
          <w:tcPr>
            <w:tcW w:type="dxa" w:w="3888"/>
          </w:tcPr>
          <w:p>
            <w:r/>
            <w:r>
              <w:rPr>
                <w:sz w:val="19"/>
              </w:rPr>
              <w:t>Board nominations are controlled by committees composed of the largest shareholders (typically top 3–4 as of Aug/Sep ownership records), not by the board itself.</w:t>
            </w:r>
          </w:p>
        </w:tc>
        <w:tc>
          <w:tcPr>
            <w:tcW w:type="dxa" w:w="3744"/>
          </w:tcPr>
          <w:p>
            <w:r/>
            <w:r>
              <w:rPr>
                <w:sz w:val="19"/>
              </w:rPr>
              <w:t>A 4–8% stake in a mid-cap routinely earns a nomination-committee seat — direct influence over board composition without a proxy fight.</w:t>
            </w:r>
          </w:p>
        </w:tc>
      </w:tr>
      <w:tr>
        <w:tc>
          <w:tcPr>
            <w:tcW w:type="dxa" w:w="2160"/>
            <w:shd w:fill="F2F4F8"/>
          </w:tcPr>
          <w:p>
            <w:r/>
            <w:r>
              <w:rPr>
                <w:sz w:val="19"/>
              </w:rPr>
              <w:t>Low EGM threshold</w:t>
            </w:r>
          </w:p>
        </w:tc>
        <w:tc>
          <w:tcPr>
            <w:tcW w:type="dxa" w:w="3888"/>
            <w:shd w:fill="F2F4F8"/>
          </w:tcPr>
          <w:p>
            <w:r/>
            <w:r>
              <w:rPr>
                <w:sz w:val="19"/>
              </w:rPr>
              <w:t>10% of shares can requisition an extraordinary general meeting in Sweden (similar thresholds across the region).</w:t>
            </w:r>
          </w:p>
        </w:tc>
        <w:tc>
          <w:tcPr>
            <w:tcW w:type="dxa" w:w="3744"/>
            <w:shd w:fill="F2F4F8"/>
          </w:tcPr>
          <w:p>
            <w:r/>
            <w:r>
              <w:rPr>
                <w:sz w:val="19"/>
              </w:rPr>
              <w:t>Credible escalation path that rarely needs to be used.</w:t>
            </w:r>
          </w:p>
        </w:tc>
      </w:tr>
      <w:tr>
        <w:tc>
          <w:tcPr>
            <w:tcW w:type="dxa" w:w="2160"/>
          </w:tcPr>
          <w:p>
            <w:r/>
            <w:r>
              <w:rPr>
                <w:sz w:val="19"/>
              </w:rPr>
              <w:t>Ownership transparency</w:t>
            </w:r>
          </w:p>
        </w:tc>
        <w:tc>
          <w:tcPr>
            <w:tcW w:type="dxa" w:w="3888"/>
          </w:tcPr>
          <w:p>
            <w:r/>
            <w:r>
              <w:rPr>
                <w:sz w:val="19"/>
              </w:rPr>
              <w:t>Public shareholder registers (e.g., Euroclear Sweden) updated frequently.</w:t>
            </w:r>
          </w:p>
        </w:tc>
        <w:tc>
          <w:tcPr>
            <w:tcW w:type="dxa" w:w="3744"/>
          </w:tcPr>
          <w:p>
            <w:r/>
            <w:r>
              <w:rPr>
                <w:sz w:val="19"/>
              </w:rPr>
              <w:t>Precise coalition mapping; no guessing who holds the register.</w:t>
            </w:r>
          </w:p>
        </w:tc>
      </w:tr>
      <w:tr>
        <w:tc>
          <w:tcPr>
            <w:tcW w:type="dxa" w:w="2160"/>
            <w:shd w:fill="F2F4F8"/>
          </w:tcPr>
          <w:p>
            <w:r/>
            <w:r>
              <w:rPr>
                <w:sz w:val="19"/>
              </w:rPr>
              <w:t>Consensus culture</w:t>
            </w:r>
          </w:p>
        </w:tc>
        <w:tc>
          <w:tcPr>
            <w:tcW w:type="dxa" w:w="3888"/>
            <w:shd w:fill="F2F4F8"/>
          </w:tcPr>
          <w:p>
            <w:r/>
            <w:r>
              <w:rPr>
                <w:sz w:val="19"/>
              </w:rPr>
              <w:t>Boards and ownership spheres respond to well-researched private argumentation; public hostility is rare and usually unnecessary.</w:t>
            </w:r>
          </w:p>
        </w:tc>
        <w:tc>
          <w:tcPr>
            <w:tcW w:type="dxa" w:w="3744"/>
            <w:shd w:fill="F2F4F8"/>
          </w:tcPr>
          <w:p>
            <w:r/>
            <w:r>
              <w:rPr>
                <w:sz w:val="19"/>
              </w:rPr>
              <w:t>Lower campaign cost, faster outcomes, brand-compatible conduct.</w:t>
            </w:r>
          </w:p>
        </w:tc>
      </w:tr>
      <w:tr>
        <w:tc>
          <w:tcPr>
            <w:tcW w:type="dxa" w:w="2160"/>
          </w:tcPr>
          <w:p>
            <w:r/>
            <w:r>
              <w:rPr>
                <w:sz w:val="19"/>
              </w:rPr>
              <w:t>Dual-class shares &amp; spheres</w:t>
            </w:r>
          </w:p>
        </w:tc>
        <w:tc>
          <w:tcPr>
            <w:tcW w:type="dxa" w:w="3888"/>
          </w:tcPr>
          <w:p>
            <w:r/>
            <w:r>
              <w:rPr>
                <w:sz w:val="19"/>
              </w:rPr>
              <w:t>Founding families, foundations and investment companies (Wallenberg/Investor, Industrivärden, Lundberg, Maersk family, Danish foundations) anchor many issuers.</w:t>
            </w:r>
          </w:p>
        </w:tc>
        <w:tc>
          <w:tcPr>
            <w:tcW w:type="dxa" w:w="3744"/>
          </w:tcPr>
          <w:p>
            <w:r/>
            <w:r>
              <w:rPr>
                <w:sz w:val="19"/>
              </w:rPr>
              <w:t>Screens out uninvestable names early; conversely, sphere-free mid-caps are exceptionally open to engagement.</w:t>
            </w:r>
          </w:p>
        </w:tc>
      </w:tr>
    </w:tbl>
    <w:p/>
    <w:p>
      <w:r>
        <w:rPr>
          <w:b w:val="0"/>
          <w:i w:val="0"/>
        </w:rPr>
        <w:t>Cevian's two-decade record — board seats across the region, low-to-mid-teens net returns over cycles, and outcomes such as the value created around Danske Bank, ABB, Ericsson and numerous Nordic industrials — is the proof of concept. The constructive, board-led model works in this region better than anywhere else. What the region lacks is a second institutional-scale practitioner. Nordic Capital can be that firm, with advantages Cevian never had: a buyout balance sheet behind the engagement, and operating resources measured in hundreds of professionals.</w:t>
      </w:r>
    </w:p>
    <w:p>
      <w:r>
        <w:br w:type="page"/>
      </w:r>
    </w:p>
    <w:p>
      <w:pPr>
        <w:pStyle w:val="Heading1"/>
      </w:pPr>
      <w:r>
        <w:t>3. Why Nordic Capital Wins</w:t>
      </w:r>
    </w:p>
    <w:p>
      <w:pPr>
        <w:pStyle w:val="ListBullet"/>
        <w:spacing w:after="80"/>
      </w:pPr>
      <w:r>
        <w:rPr>
          <w:b/>
        </w:rPr>
        <w:t xml:space="preserve">Operating credibility, not financial engineering. </w:t>
      </w:r>
      <w:r>
        <w:t>Three decades and &gt;EUR 31bn of AUM built on operational transformation in healthcare, technology &amp; payments, financial services and industrial &amp; business services. When Nordic Capital tells a board the margin gap to best-in-class is 400bps, it speaks as an owner that has closed that gap repeatedly in private portfolios.</w:t>
      </w:r>
    </w:p>
    <w:p>
      <w:pPr>
        <w:pStyle w:val="ListBullet"/>
        <w:spacing w:after="80"/>
      </w:pPr>
      <w:r>
        <w:rPr>
          <w:b/>
        </w:rPr>
        <w:t xml:space="preserve">The network is the moat. </w:t>
      </w:r>
      <w:r>
        <w:t>An unmatched bench of Nordic chairs, former CEOs and operating advisors who can be proposed as board candidates — the single hardest resource for any activist to assemble, and the one that decides outcomes in a nomination-committee system.</w:t>
      </w:r>
    </w:p>
    <w:p>
      <w:pPr>
        <w:pStyle w:val="ListBullet"/>
        <w:spacing w:after="80"/>
      </w:pPr>
      <w:r>
        <w:rPr>
          <w:b/>
        </w:rPr>
        <w:t xml:space="preserve">Domestic legitimacy. </w:t>
      </w:r>
      <w:r>
        <w:t>Nordic institutions, family spheres and governments engage very differently with a Stockholm-rooted owner of 30 years than with a New York or London activist. Lower friction means cheaper, faster, quieter wins — and access to situations foreign activists cannot touch.</w:t>
      </w:r>
    </w:p>
    <w:p>
      <w:pPr>
        <w:pStyle w:val="ListBullet"/>
        <w:spacing w:after="80"/>
      </w:pPr>
      <w:r>
        <w:rPr>
          <w:b/>
        </w:rPr>
        <w:t xml:space="preserve">Sector depth = underwriting edge. </w:t>
      </w:r>
      <w:r>
        <w:t>The firm's diligence pattern-recognition in medtech, software, payments and specialty financials applies directly to the listed mid-cap universe, much of which comprises businesses Nordic Capital has studied, bid on, or competed against.</w:t>
      </w:r>
    </w:p>
    <w:p>
      <w:pPr>
        <w:pStyle w:val="ListBullet"/>
        <w:spacing w:after="80"/>
      </w:pPr>
      <w:r>
        <w:rPr>
          <w:b/>
        </w:rPr>
        <w:t xml:space="preserve">Two-way pipeline with the buyout franchise. </w:t>
      </w:r>
      <w:r>
        <w:t>Public engagement surfaces take-private and PIPE opportunities for the flagship funds; conversely, activism that catalyses carve-outs creates proprietary deal flow. (Subject to the information-barrier framework in Section 8 — the synergy operates at the level of market intelligence and brand, with strict legal separation of MNPI.)</w:t>
      </w:r>
    </w:p>
    <w:p>
      <w:pPr>
        <w:pStyle w:val="ListBullet"/>
        <w:spacing w:after="80"/>
      </w:pPr>
      <w:r>
        <w:rPr>
          <w:b/>
        </w:rPr>
        <w:t xml:space="preserve">LP demand for a second product. </w:t>
      </w:r>
      <w:r>
        <w:t>Existing LPs seeking Nordic exposure with liquidity, plus dedicated activist/engagement allocators, give the raise a warm starting book. Evolution II's four-month, hard-cap close demonstrates the franchise's fundraising velocity.</w:t>
      </w:r>
    </w:p>
    <w:p>
      <w:pPr>
        <w:pStyle w:val="Heading1"/>
      </w:pPr>
      <w:r>
        <w:t>4. Investment Strategy</w:t>
      </w:r>
    </w:p>
    <w:p>
      <w:pPr>
        <w:pStyle w:val="Heading2"/>
      </w:pPr>
      <w:r>
        <w:t>4.1 Strategy statement</w:t>
      </w:r>
    </w:p>
    <w:p>
      <w:r>
        <w:rPr>
          <w:b w:val="0"/>
          <w:i w:val="0"/>
        </w:rPr>
        <w:t>Acquire 4–10% positions in 6–8 listed Nordic companies with EUR 1–10bn market capitalisation, where a clearly identifiable gap exists between market price and intrinsic value, and where that gap can be closed within 2–4 years through actions the company itself can take: operational improvement, portfolio separation or divestiture, capital-allocation reform, or strategic transactions. Influence is exercised through the Nordic governance machinery — nomination-committee participation, board representation, and private engagement with management, boards and anchor owners — with public pressure reserved as an escalation, not a default.</w:t>
      </w:r>
    </w:p>
    <w:p>
      <w:pPr>
        <w:pStyle w:val="Heading2"/>
      </w:pPr>
      <w:r>
        <w:t>4.2 The engagement playbook</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fill="0B2545"/>
          </w:tcPr>
          <w:p>
            <w:r/>
            <w:r>
              <w:rPr>
                <w:b/>
                <w:color w:val="FFFFFF"/>
                <w:sz w:val="19"/>
              </w:rPr>
              <w:t>Phase</w:t>
            </w:r>
          </w:p>
        </w:tc>
        <w:tc>
          <w:tcPr>
            <w:tcW w:type="dxa" w:w="1296"/>
            <w:shd w:fill="0B2545"/>
          </w:tcPr>
          <w:p>
            <w:r/>
            <w:r>
              <w:rPr>
                <w:b/>
                <w:color w:val="FFFFFF"/>
                <w:sz w:val="19"/>
              </w:rPr>
              <w:t>Months</w:t>
            </w:r>
          </w:p>
        </w:tc>
        <w:tc>
          <w:tcPr>
            <w:tcW w:type="dxa" w:w="6768"/>
            <w:shd w:fill="0B2545"/>
          </w:tcPr>
          <w:p>
            <w:r/>
            <w:r>
              <w:rPr>
                <w:b/>
                <w:color w:val="FFFFFF"/>
                <w:sz w:val="19"/>
              </w:rPr>
              <w:t>Actions</w:t>
            </w:r>
          </w:p>
        </w:tc>
      </w:tr>
      <w:tr>
        <w:tc>
          <w:tcPr>
            <w:tcW w:type="dxa" w:w="1728"/>
          </w:tcPr>
          <w:p>
            <w:r/>
            <w:r>
              <w:rPr>
                <w:sz w:val="19"/>
              </w:rPr>
              <w:t>1. Underwrite</w:t>
            </w:r>
          </w:p>
        </w:tc>
        <w:tc>
          <w:tcPr>
            <w:tcW w:type="dxa" w:w="1296"/>
          </w:tcPr>
          <w:p>
            <w:r/>
            <w:r>
              <w:rPr>
                <w:sz w:val="19"/>
              </w:rPr>
              <w:t>0–4</w:t>
            </w:r>
          </w:p>
        </w:tc>
        <w:tc>
          <w:tcPr>
            <w:tcW w:type="dxa" w:w="6768"/>
          </w:tcPr>
          <w:p>
            <w:r/>
            <w:r>
              <w:rPr>
                <w:sz w:val="19"/>
              </w:rPr>
              <w:t>PE-grade diligence: full operational benchmark, SOTP, downside case. Thesis must survive an internal “red team” and clear a 30%+ upside to base-case intrinsic value with limited structural downside.</w:t>
            </w:r>
          </w:p>
        </w:tc>
      </w:tr>
      <w:tr>
        <w:tc>
          <w:tcPr>
            <w:tcW w:type="dxa" w:w="1728"/>
            <w:shd w:fill="F2F4F8"/>
          </w:tcPr>
          <w:p>
            <w:r/>
            <w:r>
              <w:rPr>
                <w:sz w:val="19"/>
              </w:rPr>
              <w:t>2. Accumulate</w:t>
            </w:r>
          </w:p>
        </w:tc>
        <w:tc>
          <w:tcPr>
            <w:tcW w:type="dxa" w:w="1296"/>
            <w:shd w:fill="F2F4F8"/>
          </w:tcPr>
          <w:p>
            <w:r/>
            <w:r>
              <w:rPr>
                <w:sz w:val="19"/>
              </w:rPr>
              <w:t>3–9</w:t>
            </w:r>
          </w:p>
        </w:tc>
        <w:tc>
          <w:tcPr>
            <w:tcW w:type="dxa" w:w="6768"/>
            <w:shd w:fill="F2F4F8"/>
          </w:tcPr>
          <w:p>
            <w:r/>
            <w:r>
              <w:rPr>
                <w:sz w:val="19"/>
              </w:rPr>
              <w:t>Build 4–10% via open market and blocks, timed against Q3 ownership snapshots that seat nomination committees. Disclose at thresholds; first private meeting with chair before crossing 5%.</w:t>
            </w:r>
          </w:p>
        </w:tc>
      </w:tr>
      <w:tr>
        <w:tc>
          <w:tcPr>
            <w:tcW w:type="dxa" w:w="1728"/>
          </w:tcPr>
          <w:p>
            <w:r/>
            <w:r>
              <w:rPr>
                <w:sz w:val="19"/>
              </w:rPr>
              <w:t>3. Engage</w:t>
            </w:r>
          </w:p>
        </w:tc>
        <w:tc>
          <w:tcPr>
            <w:tcW w:type="dxa" w:w="1296"/>
          </w:tcPr>
          <w:p>
            <w:r/>
            <w:r>
              <w:rPr>
                <w:sz w:val="19"/>
              </w:rPr>
              <w:t>6–18</w:t>
            </w:r>
          </w:p>
        </w:tc>
        <w:tc>
          <w:tcPr>
            <w:tcW w:type="dxa" w:w="6768"/>
          </w:tcPr>
          <w:p>
            <w:r/>
            <w:r>
              <w:rPr>
                <w:sz w:val="19"/>
              </w:rPr>
              <w:t>Present value plan privately to board and anchor shareholders. Secure nomination-committee seat at the next cycle; propose 1–2 directors from the operating network. Align with domestic institutions and AP funds.</w:t>
            </w:r>
          </w:p>
        </w:tc>
      </w:tr>
      <w:tr>
        <w:tc>
          <w:tcPr>
            <w:tcW w:type="dxa" w:w="1728"/>
            <w:shd w:fill="F2F4F8"/>
          </w:tcPr>
          <w:p>
            <w:r/>
            <w:r>
              <w:rPr>
                <w:sz w:val="19"/>
              </w:rPr>
              <w:t>4. Execute</w:t>
            </w:r>
          </w:p>
        </w:tc>
        <w:tc>
          <w:tcPr>
            <w:tcW w:type="dxa" w:w="1296"/>
            <w:shd w:fill="F2F4F8"/>
          </w:tcPr>
          <w:p>
            <w:r/>
            <w:r>
              <w:rPr>
                <w:sz w:val="19"/>
              </w:rPr>
              <w:t>12–36</w:t>
            </w:r>
          </w:p>
        </w:tc>
        <w:tc>
          <w:tcPr>
            <w:tcW w:type="dxa" w:w="6768"/>
            <w:shd w:fill="F2F4F8"/>
          </w:tcPr>
          <w:p>
            <w:r/>
            <w:r>
              <w:rPr>
                <w:sz w:val="19"/>
              </w:rPr>
              <w:t>Board-level sponsorship of the plan: margin program, separation/divestiture, balance-sheet reset, management upgrades where needed. Quarterly milestones tracked against the underwrite.</w:t>
            </w:r>
          </w:p>
        </w:tc>
      </w:tr>
      <w:tr>
        <w:tc>
          <w:tcPr>
            <w:tcW w:type="dxa" w:w="1728"/>
          </w:tcPr>
          <w:p>
            <w:r/>
            <w:r>
              <w:rPr>
                <w:sz w:val="19"/>
              </w:rPr>
              <w:t>5. Realise</w:t>
            </w:r>
          </w:p>
        </w:tc>
        <w:tc>
          <w:tcPr>
            <w:tcW w:type="dxa" w:w="1296"/>
          </w:tcPr>
          <w:p>
            <w:r/>
            <w:r>
              <w:rPr>
                <w:sz w:val="19"/>
              </w:rPr>
              <w:t>24–48</w:t>
            </w:r>
          </w:p>
        </w:tc>
        <w:tc>
          <w:tcPr>
            <w:tcW w:type="dxa" w:w="6768"/>
          </w:tcPr>
          <w:p>
            <w:r/>
            <w:r>
              <w:rPr>
                <w:sz w:val="19"/>
              </w:rPr>
              <w:t>Exit into re-rating, strategic sale, or — where compelling and conflict-cleared — a take-private led by Nordic Capital's buyout funds with the position rolled or cashed at a premium.</w:t>
            </w:r>
          </w:p>
        </w:tc>
      </w:tr>
    </w:tbl>
    <w:p/>
    <w:p>
      <w:pPr>
        <w:pStyle w:val="Heading2"/>
      </w:pPr>
      <w:r>
        <w:t>4.3 Three thesis archetypes</w:t>
      </w:r>
    </w:p>
    <w:p>
      <w:pPr>
        <w:pStyle w:val="ListBullet"/>
        <w:spacing w:after="80"/>
      </w:pPr>
      <w:r>
        <w:rPr>
          <w:b/>
        </w:rPr>
        <w:t xml:space="preserve">Margin-gap operators (est. 40–50% of book). </w:t>
      </w:r>
      <w:r>
        <w:t>Quality franchises running 300–600bps below achievable margins due to execution, supply chain or quality-system issues. Value plan: operational program with board-level accountability.</w:t>
      </w:r>
    </w:p>
    <w:p>
      <w:pPr>
        <w:pStyle w:val="ListBullet"/>
        <w:spacing w:after="80"/>
      </w:pPr>
      <w:r>
        <w:rPr>
          <w:b/>
        </w:rPr>
        <w:t xml:space="preserve">Conglomerate &amp; SOTP discounts (est. 30–40%). </w:t>
      </w:r>
      <w:r>
        <w:t>Multi-division companies where separation, divestiture or monetisation of hidden assets (stakes, real estate, infrastructure) unlocks 30–60% upside. Plays directly to record M&amp;A-activism demand and to Nordic Capital's carve-out expertise.</w:t>
      </w:r>
    </w:p>
    <w:p>
      <w:pPr>
        <w:pStyle w:val="ListBullet"/>
        <w:spacing w:after="80"/>
      </w:pPr>
      <w:r>
        <w:rPr>
          <w:b/>
        </w:rPr>
        <w:t xml:space="preserve">Capital-allocation &amp; strategic-catalyst situations (est. 15–25%). </w:t>
      </w:r>
      <w:r>
        <w:t>Lazy balance sheets, value-destructive M&amp;A patterns, or companies that should initiate or accept strategic processes. Often overlaps with the first two archetypes.</w:t>
      </w:r>
    </w:p>
    <w:p>
      <w:pPr>
        <w:pStyle w:val="Heading2"/>
      </w:pPr>
      <w:r>
        <w:t>4.4 What we will not do</w:t>
      </w:r>
    </w:p>
    <w:p>
      <w:pPr>
        <w:pStyle w:val="ListBullet"/>
        <w:spacing w:after="80"/>
      </w:pPr>
      <w:r>
        <w:t>No hostile public campaigns as an opening move; escalation requires Investment Committee approval and a reputational review.</w:t>
      </w:r>
    </w:p>
    <w:p>
      <w:pPr>
        <w:pStyle w:val="ListBullet"/>
        <w:spacing w:after="80"/>
      </w:pPr>
      <w:r>
        <w:t>No positions inside controlled spheres where the controller is unwilling to engage (screened out at underwrite).</w:t>
      </w:r>
    </w:p>
    <w:p>
      <w:pPr>
        <w:pStyle w:val="ListBullet"/>
        <w:spacing w:after="80"/>
      </w:pPr>
      <w:r>
        <w:t>No shorting of engagement targets; no activist short selling under the Nordic Capital brand.</w:t>
      </w:r>
    </w:p>
    <w:p>
      <w:pPr>
        <w:pStyle w:val="ListBullet"/>
        <w:spacing w:after="80"/>
      </w:pPr>
      <w:r>
        <w:t>No more than two concurrent campaigns in their public-escalation phase.</w:t>
      </w:r>
    </w:p>
    <w:p>
      <w:r>
        <w:br w:type="page"/>
      </w:r>
    </w:p>
    <w:p>
      <w:pPr>
        <w:pStyle w:val="Heading1"/>
      </w:pPr>
      <w:r>
        <w:t>5. Focus Areas</w:t>
      </w:r>
    </w:p>
    <w:p>
      <w:r>
        <w:rPr>
          <w:b w:val="0"/>
          <w:i w:val="0"/>
        </w:rPr>
        <w:t>Sector focus mirrors the firm's private equity franchises, weighted to where the listed Nordic mid-cap universe offers depth: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B2545"/>
          </w:tcPr>
          <w:p>
            <w:r/>
            <w:r>
              <w:rPr>
                <w:b/>
                <w:color w:val="FFFFFF"/>
                <w:sz w:val="19"/>
              </w:rPr>
              <w:t>Sector</w:t>
            </w:r>
          </w:p>
        </w:tc>
        <w:tc>
          <w:tcPr>
            <w:tcW w:type="dxa" w:w="1440"/>
            <w:shd w:fill="0B2545"/>
          </w:tcPr>
          <w:p>
            <w:r/>
            <w:r>
              <w:rPr>
                <w:b/>
                <w:color w:val="FFFFFF"/>
                <w:sz w:val="19"/>
              </w:rPr>
              <w:t>Indicative weight</w:t>
            </w:r>
          </w:p>
        </w:tc>
        <w:tc>
          <w:tcPr>
            <w:tcW w:type="dxa" w:w="3456"/>
            <w:shd w:fill="0B2545"/>
          </w:tcPr>
          <w:p>
            <w:r/>
            <w:r>
              <w:rPr>
                <w:b/>
                <w:color w:val="FFFFFF"/>
                <w:sz w:val="19"/>
              </w:rPr>
              <w:t>Why</w:t>
            </w:r>
          </w:p>
        </w:tc>
        <w:tc>
          <w:tcPr>
            <w:tcW w:type="dxa" w:w="2736"/>
            <w:shd w:fill="0B2545"/>
          </w:tcPr>
          <w:p>
            <w:r/>
            <w:r>
              <w:rPr>
                <w:b/>
                <w:color w:val="FFFFFF"/>
                <w:sz w:val="19"/>
              </w:rPr>
              <w:t>Illustrative listed universe</w:t>
            </w:r>
          </w:p>
        </w:tc>
      </w:tr>
      <w:tr>
        <w:tc>
          <w:tcPr>
            <w:tcW w:type="dxa" w:w="2160"/>
          </w:tcPr>
          <w:p>
            <w:r/>
            <w:r>
              <w:rPr>
                <w:sz w:val="19"/>
              </w:rPr>
              <w:t>Healthcare &amp; MedTech</w:t>
            </w:r>
          </w:p>
        </w:tc>
        <w:tc>
          <w:tcPr>
            <w:tcW w:type="dxa" w:w="1440"/>
          </w:tcPr>
          <w:p>
            <w:r/>
            <w:r>
              <w:rPr>
                <w:sz w:val="19"/>
              </w:rPr>
              <w:t>30–40%</w:t>
            </w:r>
          </w:p>
        </w:tc>
        <w:tc>
          <w:tcPr>
            <w:tcW w:type="dxa" w:w="3456"/>
          </w:tcPr>
          <w:p>
            <w:r/>
            <w:r>
              <w:rPr>
                <w:sz w:val="19"/>
              </w:rPr>
              <w:t>Nordic Capital's deepest franchise; the region hosts a dense cluster of global-niche medtech and pharma-services leaders, several in margin or execution repair.</w:t>
            </w:r>
          </w:p>
        </w:tc>
        <w:tc>
          <w:tcPr>
            <w:tcW w:type="dxa" w:w="2736"/>
          </w:tcPr>
          <w:p>
            <w:r/>
            <w:r>
              <w:rPr>
                <w:sz w:val="19"/>
              </w:rPr>
              <w:t>Elekta, Getinge, Demant, GN Store Nord, Ambu, Coloplast-adjacent suppliers</w:t>
            </w:r>
          </w:p>
        </w:tc>
      </w:tr>
      <w:tr>
        <w:tc>
          <w:tcPr>
            <w:tcW w:type="dxa" w:w="2160"/>
            <w:shd w:fill="F2F4F8"/>
          </w:tcPr>
          <w:p>
            <w:r/>
            <w:r>
              <w:rPr>
                <w:sz w:val="19"/>
              </w:rPr>
              <w:t>Industrials &amp; Business Services</w:t>
            </w:r>
          </w:p>
        </w:tc>
        <w:tc>
          <w:tcPr>
            <w:tcW w:type="dxa" w:w="1440"/>
            <w:shd w:fill="F2F4F8"/>
          </w:tcPr>
          <w:p>
            <w:r/>
            <w:r>
              <w:rPr>
                <w:sz w:val="19"/>
              </w:rPr>
              <w:t>25–35%</w:t>
            </w:r>
          </w:p>
        </w:tc>
        <w:tc>
          <w:tcPr>
            <w:tcW w:type="dxa" w:w="3456"/>
            <w:shd w:fill="F2F4F8"/>
          </w:tcPr>
          <w:p>
            <w:r/>
            <w:r>
              <w:rPr>
                <w:sz w:val="19"/>
              </w:rPr>
              <w:t>Largest segment of the listed universe; rich in conglomerate discounts and self-help stories.</w:t>
            </w:r>
          </w:p>
        </w:tc>
        <w:tc>
          <w:tcPr>
            <w:tcW w:type="dxa" w:w="2736"/>
            <w:shd w:fill="F2F4F8"/>
          </w:tcPr>
          <w:p>
            <w:r/>
            <w:r>
              <w:rPr>
                <w:sz w:val="19"/>
              </w:rPr>
              <w:t>Orkla, SKF, Dometic, Thule, ISS, Securitas, Valmet, Huhtamäki</w:t>
            </w:r>
          </w:p>
        </w:tc>
      </w:tr>
      <w:tr>
        <w:tc>
          <w:tcPr>
            <w:tcW w:type="dxa" w:w="2160"/>
          </w:tcPr>
          <w:p>
            <w:r/>
            <w:r>
              <w:rPr>
                <w:sz w:val="19"/>
              </w:rPr>
              <w:t>Technology, Software &amp; Payments</w:t>
            </w:r>
          </w:p>
        </w:tc>
        <w:tc>
          <w:tcPr>
            <w:tcW w:type="dxa" w:w="1440"/>
          </w:tcPr>
          <w:p>
            <w:r/>
            <w:r>
              <w:rPr>
                <w:sz w:val="19"/>
              </w:rPr>
              <w:t>15–25%</w:t>
            </w:r>
          </w:p>
        </w:tc>
        <w:tc>
          <w:tcPr>
            <w:tcW w:type="dxa" w:w="3456"/>
          </w:tcPr>
          <w:p>
            <w:r/>
            <w:r>
              <w:rPr>
                <w:sz w:val="19"/>
              </w:rPr>
              <w:t>Post-2021 de-ratings left quality Nordic software and IT-services assets at private-market discounts; consolidation logic is strong.</w:t>
            </w:r>
          </w:p>
        </w:tc>
        <w:tc>
          <w:tcPr>
            <w:tcW w:type="dxa" w:w="2736"/>
          </w:tcPr>
          <w:p>
            <w:r/>
            <w:r>
              <w:rPr>
                <w:sz w:val="19"/>
              </w:rPr>
              <w:t>Tieto, Crayon-adjacent, Nexi-linked Nordic payment assets, Kahoot-class de-rated SaaS</w:t>
            </w:r>
          </w:p>
        </w:tc>
      </w:tr>
      <w:tr>
        <w:tc>
          <w:tcPr>
            <w:tcW w:type="dxa" w:w="2160"/>
            <w:shd w:fill="F2F4F8"/>
          </w:tcPr>
          <w:p>
            <w:r/>
            <w:r>
              <w:rPr>
                <w:sz w:val="19"/>
              </w:rPr>
              <w:t>Financial Services</w:t>
            </w:r>
          </w:p>
        </w:tc>
        <w:tc>
          <w:tcPr>
            <w:tcW w:type="dxa" w:w="1440"/>
            <w:shd w:fill="F2F4F8"/>
          </w:tcPr>
          <w:p>
            <w:r/>
            <w:r>
              <w:rPr>
                <w:sz w:val="19"/>
              </w:rPr>
              <w:t>10–20%</w:t>
            </w:r>
          </w:p>
        </w:tc>
        <w:tc>
          <w:tcPr>
            <w:tcW w:type="dxa" w:w="3456"/>
            <w:shd w:fill="F2F4F8"/>
          </w:tcPr>
          <w:p>
            <w:r/>
            <w:r>
              <w:rPr>
                <w:sz w:val="19"/>
              </w:rPr>
              <w:t>Specialty finance, insurance and savings platforms with capital-return and consolidation angles.</w:t>
            </w:r>
          </w:p>
        </w:tc>
        <w:tc>
          <w:tcPr>
            <w:tcW w:type="dxa" w:w="2736"/>
            <w:shd w:fill="F2F4F8"/>
          </w:tcPr>
          <w:p>
            <w:r/>
            <w:r>
              <w:rPr>
                <w:sz w:val="19"/>
              </w:rPr>
              <w:t>Storebrand, Sampo-adjacent, specialty lenders</w:t>
            </w:r>
          </w:p>
        </w:tc>
      </w:tr>
    </w:tbl>
    <w:p/>
    <w:p>
      <w:r>
        <w:rPr>
          <w:b w:val="0"/>
          <w:i w:val="0"/>
        </w:rPr>
        <w:t>Geographic spread: Sweden ~40–50% (deepest market, most activist-friendly mechanics), Denmark ~20–25%, Finland ~15–20%, Norway ~10–15% (sphere- and state-heavy, more selective).</w:t>
      </w:r>
    </w:p>
    <w:p>
      <w:pPr>
        <w:pStyle w:val="Heading1"/>
      </w:pPr>
      <w:r>
        <w:t>6. Target Universe &amp; Screening</w:t>
      </w:r>
    </w:p>
    <w:p>
      <w:pPr>
        <w:pStyle w:val="ListBullet"/>
        <w:spacing w:after="80"/>
      </w:pPr>
      <w:r>
        <w:rPr>
          <w:b/>
        </w:rPr>
        <w:t xml:space="preserve">Universe: </w:t>
      </w:r>
      <w:r>
        <w:t>~1,400 Nordic-listed companies; ~150 in the EUR 1–10bn sweet spot after liquidity screens.</w:t>
      </w:r>
    </w:p>
    <w:p>
      <w:pPr>
        <w:pStyle w:val="ListBullet"/>
        <w:spacing w:after="80"/>
      </w:pPr>
      <w:r>
        <w:rPr>
          <w:b/>
        </w:rPr>
        <w:t xml:space="preserve">Screen 1 — Quality: </w:t>
      </w:r>
      <w:r>
        <w:t>defensible market position, structurally sound gross margins, identifiable best-in-class peer set. (~60 names survive.)</w:t>
      </w:r>
    </w:p>
    <w:p>
      <w:pPr>
        <w:pStyle w:val="ListBullet"/>
        <w:spacing w:after="80"/>
      </w:pPr>
      <w:r>
        <w:rPr>
          <w:b/>
        </w:rPr>
        <w:t xml:space="preserve">Screen 2 — Value gap: </w:t>
      </w:r>
      <w:r>
        <w:t>&gt;30% upside to intrinsic value on normalised margins or SOTP. (~25–30 names.)</w:t>
      </w:r>
    </w:p>
    <w:p>
      <w:pPr>
        <w:pStyle w:val="ListBullet"/>
        <w:spacing w:after="80"/>
      </w:pPr>
      <w:r>
        <w:rPr>
          <w:b/>
        </w:rPr>
        <w:t xml:space="preserve">Screen 3 — Path to influence: </w:t>
      </w:r>
      <w:r>
        <w:t>free-float and register structure permitting a 4–10% stake with nomination-committee relevance; no blocking sphere hostile to change. (~15–20 names.)</w:t>
      </w:r>
    </w:p>
    <w:p>
      <w:pPr>
        <w:pStyle w:val="ListBullet"/>
        <w:spacing w:after="80"/>
      </w:pPr>
      <w:r>
        <w:rPr>
          <w:b/>
        </w:rPr>
        <w:t xml:space="preserve">Screen 4 — Conflict check: </w:t>
      </w:r>
      <w:r>
        <w:t>no MNPI contamination from current PE processes; cleared by compliance before any accumulation. (Live pipeline: 10–14 names, of which 6–8 funded.)</w:t>
      </w:r>
    </w:p>
    <w:p>
      <w:r>
        <w:rPr>
          <w:b w:val="0"/>
          <w:i w:val="0"/>
        </w:rPr>
        <w:t>A EUR 1.5bn book across 6–8 core positions implies EUR 180–280m per position — i.e., 4–10% of companies with EUR 2–6bn market caps, precisely the band where nomination-committee seats are won and where dedicated competition is thinnest.</w:t>
      </w:r>
    </w:p>
    <w:p>
      <w:r>
        <w:br w:type="page"/>
      </w:r>
    </w:p>
    <w:p>
      <w:pPr>
        <w:pStyle w:val="Heading1"/>
      </w:pPr>
      <w:r>
        <w:t>7. Illustrative Pipeline (Public Information Only)</w:t>
      </w:r>
    </w:p>
    <w:p>
      <w:r>
        <w:rPr>
          <w:b w:val="0"/>
          <w:i/>
        </w:rPr>
        <w:t>The following five situations illustrate the strategy's archetypes using publicly available information as of early/mid 2026. They are illustrations for discussion, not recommendations, and would each require full underwriting and conflict clearance.</w:t>
      </w:r>
    </w:p>
    <w:p>
      <w:pPr>
        <w:pStyle w:val="Heading2"/>
      </w:pPr>
      <w:r>
        <w:t>7.1 Elekta (Sweden — MedTech) — Margin-gap operator</w:t>
      </w:r>
    </w:p>
    <w:p>
      <w:pPr>
        <w:pStyle w:val="ListBullet"/>
        <w:spacing w:after="80"/>
      </w:pPr>
      <w:r>
        <w:t>Global #2 in radiation oncology, a structurally growing oligopoly, yet the stock has de-rated dramatically; third-party fair-value estimates have placed the discount at ~50%+ at points in 2026.</w:t>
      </w:r>
    </w:p>
    <w:p>
      <w:pPr>
        <w:pStyle w:val="ListBullet"/>
        <w:spacing w:after="80"/>
      </w:pPr>
      <w:r>
        <w:t>FY2025/26 adjusted EBIT margin of ~12% versus mid-to-high-teens at Siemens Healthineers' Varian — a 400–600bps gap attributable to supply chain, order execution and mix, not market position.</w:t>
      </w:r>
    </w:p>
    <w:p>
      <w:pPr>
        <w:pStyle w:val="ListBullet"/>
        <w:spacing w:after="80"/>
      </w:pPr>
      <w:r>
        <w:t>Value plan: board-sponsored margin program, order-to-revenue execution reset, service-revenue acceleration; strategic optionality given consolidation logic in medtech. Healthcare is Nordic Capital's home turf — credibility here is immediate.</w:t>
      </w:r>
    </w:p>
    <w:p>
      <w:pPr>
        <w:pStyle w:val="Heading2"/>
      </w:pPr>
      <w:r>
        <w:t>7.2 Getinge (Sweden — MedTech) — Margin recovery &amp; portfolio focus</w:t>
      </w:r>
    </w:p>
    <w:p>
      <w:pPr>
        <w:pStyle w:val="ListBullet"/>
        <w:spacing w:after="80"/>
      </w:pPr>
      <w:r>
        <w:t>Profitability is recovering (profit margin ~6.5% in 2025 vs ~4.7% in 2024) as quality-remediation costs roll off, but remains far below medtech peer levels.</w:t>
      </w:r>
    </w:p>
    <w:p>
      <w:pPr>
        <w:pStyle w:val="ListBullet"/>
        <w:spacing w:after="80"/>
      </w:pPr>
      <w:r>
        <w:t>Three loosely related business areas (Acute Care Therapies, Life Science, Surgical Workflows) invite portfolio review; a Life Science separation is a credible SOTP catalyst.</w:t>
      </w:r>
    </w:p>
    <w:p>
      <w:pPr>
        <w:pStyle w:val="ListBullet"/>
        <w:spacing w:after="80"/>
      </w:pPr>
      <w:r>
        <w:t>Value plan: complete the quality agenda with board-level accountability, then drive portfolio focus and margin normalisation toward double-digit EBITA.</w:t>
      </w:r>
    </w:p>
    <w:p>
      <w:pPr>
        <w:pStyle w:val="Heading2"/>
      </w:pPr>
      <w:r>
        <w:t>7.3 GN Store Nord (Denmark — Hearing &amp; Audio) — Separation thesis</w:t>
      </w:r>
    </w:p>
    <w:p>
      <w:pPr>
        <w:pStyle w:val="ListBullet"/>
        <w:spacing w:after="80"/>
      </w:pPr>
      <w:r>
        <w:t>Long-standing two-business structure (hearing care and enterprise/consumer audio) with limited synergy; separation has been publicly debated for years while leverage from the Steelseries era suppressed action.</w:t>
      </w:r>
    </w:p>
    <w:p>
      <w:pPr>
        <w:pStyle w:val="ListBullet"/>
        <w:spacing w:after="80"/>
      </w:pPr>
      <w:r>
        <w:t>Value plan: deleverage milestones, then formal separation review; both businesses have natural strategic and sponsor buyers. Classic M&amp;A-activism archetype in a foundation-light register that is unusually open for a Danish large-cap.</w:t>
      </w:r>
    </w:p>
    <w:p>
      <w:pPr>
        <w:pStyle w:val="Heading2"/>
      </w:pPr>
      <w:r>
        <w:t>7.4 Tieto (Finland — Software &amp; IT Services) — Completing the break-up</w:t>
      </w:r>
    </w:p>
    <w:p>
      <w:pPr>
        <w:pStyle w:val="ListBullet"/>
        <w:spacing w:after="80"/>
      </w:pPr>
      <w:r>
        <w:t>Tietoevry has already validated the separation path: Banking demerger toward a Nasdaq Helsinki listing announced, Tech Services sold to Agilitas for EUR 300m (closed September 2025), proceeds applied to debt.</w:t>
      </w:r>
    </w:p>
    <w:p>
      <w:pPr>
        <w:pStyle w:val="ListBullet"/>
        <w:spacing w:after="80"/>
      </w:pPr>
      <w:r>
        <w:t>Value plan: support and accelerate completion of the value-realisation program, enforce capital-return discipline on proceeds, and position the remaining Nordic software core (Industry/Care) for consolidation — as buyer or seller.</w:t>
      </w:r>
    </w:p>
    <w:p>
      <w:pPr>
        <w:pStyle w:val="Heading2"/>
      </w:pPr>
      <w:r>
        <w:t>7.5 Orkla (Norway — Branded Consumer / Holding) — Conglomerate discount</w:t>
      </w:r>
    </w:p>
    <w:p>
      <w:pPr>
        <w:pStyle w:val="ListBullet"/>
        <w:spacing w:after="80"/>
      </w:pPr>
      <w:r>
        <w:t>Self-declared transition to an “industrial investment company” with ~12 portfolio companies, a ~42.6% stake in Jotun (paints — a world-class hidden asset), hydropower assets and net cash optionality; the equity persistently trades below credible SOTP.</w:t>
      </w:r>
    </w:p>
    <w:p>
      <w:pPr>
        <w:pStyle w:val="ListBullet"/>
        <w:spacing w:after="80"/>
      </w:pPr>
      <w:r>
        <w:t>Value plan: accelerate announced portfolio monetisations, establish a capital-return framework tied to disposal proceeds, and push for transparent per-asset reporting that forces the SOTP into the price.</w:t>
      </w:r>
    </w:p>
    <w:p>
      <w:r>
        <w:rPr>
          <w:b w:val="0"/>
          <w:i/>
        </w:rPr>
        <w:t>Watchlist (further candidates surviving Screens 1–3): Securitas (self-help largely delivered — instructive as a model of the re-rating we underwrite), Demant, Ambu, Dometic, Thule, Huhtamäki, Valmet, Storebrand, ISS.</w:t>
      </w:r>
    </w:p>
    <w:p>
      <w:r>
        <w:br w:type="page"/>
      </w:r>
    </w:p>
    <w:p>
      <w:pPr>
        <w:pStyle w:val="Heading1"/>
      </w:pPr>
      <w:r>
        <w:t>8. Vehicle, Size &amp; Terms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B2545"/>
          </w:tcPr>
          <w:p>
            <w:r/>
            <w:r>
              <w:rPr>
                <w:b/>
                <w:color w:val="FFFFFF"/>
                <w:sz w:val="19"/>
              </w:rPr>
              <w:t>Parameter</w:t>
            </w:r>
          </w:p>
        </w:tc>
        <w:tc>
          <w:tcPr>
            <w:tcW w:type="dxa" w:w="3744"/>
            <w:shd w:fill="0B2545"/>
          </w:tcPr>
          <w:p>
            <w:r/>
            <w:r>
              <w:rPr>
                <w:b/>
                <w:color w:val="FFFFFF"/>
                <w:sz w:val="19"/>
              </w:rPr>
              <w:t>Recommendation</w:t>
            </w:r>
          </w:p>
        </w:tc>
        <w:tc>
          <w:tcPr>
            <w:tcW w:type="dxa" w:w="4176"/>
            <w:shd w:fill="0B2545"/>
          </w:tcPr>
          <w:p>
            <w:r/>
            <w:r>
              <w:rPr>
                <w:b/>
                <w:color w:val="FFFFFF"/>
                <w:sz w:val="19"/>
              </w:rPr>
              <w:t>Rationale</w:t>
            </w:r>
          </w:p>
        </w:tc>
      </w:tr>
      <w:tr>
        <w:tc>
          <w:tcPr>
            <w:tcW w:type="dxa" w:w="1872"/>
          </w:tcPr>
          <w:p>
            <w:r/>
            <w:r>
              <w:rPr>
                <w:sz w:val="19"/>
              </w:rPr>
              <w:t>Target size</w:t>
            </w:r>
          </w:p>
        </w:tc>
        <w:tc>
          <w:tcPr>
            <w:tcW w:type="dxa" w:w="3744"/>
          </w:tcPr>
          <w:p>
            <w:r/>
            <w:r>
              <w:rPr>
                <w:sz w:val="19"/>
              </w:rPr>
              <w:t>USD 1.5bn (hard cap USD 2.0bn)</w:t>
            </w:r>
          </w:p>
        </w:tc>
        <w:tc>
          <w:tcPr>
            <w:tcW w:type="dxa" w:w="4176"/>
          </w:tcPr>
          <w:p>
            <w:r/>
            <w:r>
              <w:rPr>
                <w:sz w:val="19"/>
              </w:rPr>
              <w:t>Sized to the EUR 1–10bn mid-cap band: large enough for 6–8 influential stakes, small enough to stay in the under-fished segment and exit without market impact.</w:t>
            </w:r>
          </w:p>
        </w:tc>
      </w:tr>
      <w:tr>
        <w:tc>
          <w:tcPr>
            <w:tcW w:type="dxa" w:w="1872"/>
            <w:shd w:fill="F2F4F8"/>
          </w:tcPr>
          <w:p>
            <w:r/>
            <w:r>
              <w:rPr>
                <w:sz w:val="19"/>
              </w:rPr>
              <w:t>Structure</w:t>
            </w:r>
          </w:p>
        </w:tc>
        <w:tc>
          <w:tcPr>
            <w:tcW w:type="dxa" w:w="3744"/>
            <w:shd w:fill="F2F4F8"/>
          </w:tcPr>
          <w:p>
            <w:r/>
            <w:r>
              <w:rPr>
                <w:sz w:val="19"/>
              </w:rPr>
              <w:t>Luxembourg RAIF (AIFMD), evergreen with 3-year soft lock, quarterly liquidity thereafter with 25% investor-level gates</w:t>
            </w:r>
          </w:p>
        </w:tc>
        <w:tc>
          <w:tcPr>
            <w:tcW w:type="dxa" w:w="4176"/>
            <w:shd w:fill="F2F4F8"/>
          </w:tcPr>
          <w:p>
            <w:r/>
            <w:r>
              <w:rPr>
                <w:sz w:val="19"/>
              </w:rPr>
              <w:t>Engagement horizons of 2–4 years require patient capital; evergreen structure matches Cevian-model precedent and LP expectations for the asset class.</w:t>
            </w:r>
          </w:p>
        </w:tc>
      </w:tr>
      <w:tr>
        <w:tc>
          <w:tcPr>
            <w:tcW w:type="dxa" w:w="1872"/>
          </w:tcPr>
          <w:p>
            <w:r/>
            <w:r>
              <w:rPr>
                <w:sz w:val="19"/>
              </w:rPr>
              <w:t>GP commitment</w:t>
            </w:r>
          </w:p>
        </w:tc>
        <w:tc>
          <w:tcPr>
            <w:tcW w:type="dxa" w:w="3744"/>
          </w:tcPr>
          <w:p>
            <w:r/>
            <w:r>
              <w:rPr>
                <w:sz w:val="19"/>
              </w:rPr>
              <w:t>EUR 150–200m (balance sheet + partners/employees)</w:t>
            </w:r>
          </w:p>
        </w:tc>
        <w:tc>
          <w:tcPr>
            <w:tcW w:type="dxa" w:w="4176"/>
          </w:tcPr>
          <w:p>
            <w:r/>
            <w:r>
              <w:rPr>
                <w:sz w:val="19"/>
              </w:rPr>
              <w:t>Anchors alignment; signals conviction to LPs and to target boards.</w:t>
            </w:r>
          </w:p>
        </w:tc>
      </w:tr>
      <w:tr>
        <w:tc>
          <w:tcPr>
            <w:tcW w:type="dxa" w:w="1872"/>
            <w:shd w:fill="F2F4F8"/>
          </w:tcPr>
          <w:p>
            <w:r/>
            <w:r>
              <w:rPr>
                <w:sz w:val="19"/>
              </w:rPr>
              <w:t>Management fee</w:t>
            </w:r>
          </w:p>
        </w:tc>
        <w:tc>
          <w:tcPr>
            <w:tcW w:type="dxa" w:w="3744"/>
            <w:shd w:fill="F2F4F8"/>
          </w:tcPr>
          <w:p>
            <w:r/>
            <w:r>
              <w:rPr>
                <w:sz w:val="19"/>
              </w:rPr>
              <w:t>1.25–1.50% on NAV</w:t>
            </w:r>
          </w:p>
        </w:tc>
        <w:tc>
          <w:tcPr>
            <w:tcW w:type="dxa" w:w="4176"/>
            <w:shd w:fill="F2F4F8"/>
          </w:tcPr>
          <w:p>
            <w:r/>
            <w:r>
              <w:rPr>
                <w:sz w:val="19"/>
              </w:rPr>
              <w:t>Mid-cap engaged-equity market standard.</w:t>
            </w:r>
          </w:p>
        </w:tc>
      </w:tr>
      <w:tr>
        <w:tc>
          <w:tcPr>
            <w:tcW w:type="dxa" w:w="1872"/>
          </w:tcPr>
          <w:p>
            <w:r/>
            <w:r>
              <w:rPr>
                <w:sz w:val="19"/>
              </w:rPr>
              <w:t>Performance fee</w:t>
            </w:r>
          </w:p>
        </w:tc>
        <w:tc>
          <w:tcPr>
            <w:tcW w:type="dxa" w:w="3744"/>
          </w:tcPr>
          <w:p>
            <w:r/>
            <w:r>
              <w:rPr>
                <w:sz w:val="19"/>
              </w:rPr>
              <w:t>17.5% over the higher of MSCI Nordic + 200bps and a 5% absolute hurdle; 3-year crystallisation; high-water mark</w:t>
            </w:r>
          </w:p>
        </w:tc>
        <w:tc>
          <w:tcPr>
            <w:tcW w:type="dxa" w:w="4176"/>
          </w:tcPr>
          <w:p>
            <w:r/>
            <w:r>
              <w:rPr>
                <w:sz w:val="19"/>
              </w:rPr>
              <w:t>Pays only for engagement alpha, not beta; long crystallisation matches the campaign cycle.</w:t>
            </w:r>
          </w:p>
        </w:tc>
      </w:tr>
      <w:tr>
        <w:tc>
          <w:tcPr>
            <w:tcW w:type="dxa" w:w="1872"/>
            <w:shd w:fill="F2F4F8"/>
          </w:tcPr>
          <w:p>
            <w:r/>
            <w:r>
              <w:rPr>
                <w:sz w:val="19"/>
              </w:rPr>
              <w:t>Concentration limits</w:t>
            </w:r>
          </w:p>
        </w:tc>
        <w:tc>
          <w:tcPr>
            <w:tcW w:type="dxa" w:w="3744"/>
            <w:shd w:fill="F2F4F8"/>
          </w:tcPr>
          <w:p>
            <w:r/>
            <w:r>
              <w:rPr>
                <w:sz w:val="19"/>
              </w:rPr>
              <w:t>Max 25% NAV per position at cost; max 35% at market; max 2 concurrent public-escalation campaigns</w:t>
            </w:r>
          </w:p>
        </w:tc>
        <w:tc>
          <w:tcPr>
            <w:tcW w:type="dxa" w:w="4176"/>
            <w:shd w:fill="F2F4F8"/>
          </w:tcPr>
          <w:p>
            <w:r/>
            <w:r>
              <w:rPr>
                <w:sz w:val="19"/>
              </w:rPr>
              <w:t>Concentration is the strategy, but single-name risk is capped.</w:t>
            </w:r>
          </w:p>
        </w:tc>
      </w:tr>
      <w:tr>
        <w:tc>
          <w:tcPr>
            <w:tcW w:type="dxa" w:w="1872"/>
          </w:tcPr>
          <w:p>
            <w:r/>
            <w:r>
              <w:rPr>
                <w:sz w:val="19"/>
              </w:rPr>
              <w:t>Side capacity</w:t>
            </w:r>
          </w:p>
        </w:tc>
        <w:tc>
          <w:tcPr>
            <w:tcW w:type="dxa" w:w="3744"/>
          </w:tcPr>
          <w:p>
            <w:r/>
            <w:r>
              <w:rPr>
                <w:sz w:val="19"/>
              </w:rPr>
              <w:t>Co-investment sleeves for oversized situations and take-private bridges</w:t>
            </w:r>
          </w:p>
        </w:tc>
        <w:tc>
          <w:tcPr>
            <w:tcW w:type="dxa" w:w="4176"/>
          </w:tcPr>
          <w:p>
            <w:r/>
            <w:r>
              <w:rPr>
                <w:sz w:val="19"/>
              </w:rPr>
              <w:t>Lets the fund punch above its weight on the best ideas without breaching limits.</w:t>
            </w:r>
          </w:p>
        </w:tc>
      </w:tr>
      <w:tr>
        <w:tc>
          <w:tcPr>
            <w:tcW w:type="dxa" w:w="1872"/>
            <w:shd w:fill="F2F4F8"/>
          </w:tcPr>
          <w:p>
            <w:r/>
            <w:r>
              <w:rPr>
                <w:sz w:val="19"/>
              </w:rPr>
              <w:t>Target returns</w:t>
            </w:r>
          </w:p>
        </w:tc>
        <w:tc>
          <w:tcPr>
            <w:tcW w:type="dxa" w:w="3744"/>
            <w:shd w:fill="F2F4F8"/>
          </w:tcPr>
          <w:p>
            <w:r/>
            <w:r>
              <w:rPr>
                <w:sz w:val="19"/>
              </w:rPr>
              <w:t>15%+ net IRR over a cycle; expected realised volatility below index due to engagement catalysts and entry discounts</w:t>
            </w:r>
          </w:p>
        </w:tc>
        <w:tc>
          <w:tcPr>
            <w:tcW w:type="dxa" w:w="4176"/>
            <w:shd w:fill="F2F4F8"/>
          </w:tcPr>
          <w:p>
            <w:r/>
            <w:r>
              <w:rPr>
                <w:sz w:val="19"/>
              </w:rPr>
              <w:t>Consistent with the realised economics of the leading Nordic engagement practitioner over two decades.</w:t>
            </w:r>
          </w:p>
        </w:tc>
      </w:tr>
    </w:tbl>
    <w:p/>
    <w:p>
      <w:pPr>
        <w:pStyle w:val="Heading1"/>
      </w:pPr>
      <w:r>
        <w:t>9. Team &amp; Organisation</w:t>
      </w:r>
    </w:p>
    <w:p>
      <w:r>
        <w:rPr>
          <w:b w:val="0"/>
          <w:i w:val="0"/>
        </w:rPr>
        <w:t>A deliberately small, senior team of 10–12 at launch, structured for PE-grade underwriting and board-level engagement:</w:t>
      </w:r>
    </w:p>
    <w:tbl>
      <w:tblPr>
        <w:tblStyle w:val="TableGrid"/>
        <w:tblW w:type="auto" w:w="0"/>
        <w:jc w:val="center"/>
        <w:tblLook w:firstColumn="1" w:firstRow="1" w:lastColumn="0" w:lastRow="0" w:noHBand="0" w:noVBand="1" w:val="04A0"/>
      </w:tblPr>
      <w:tblGrid>
        <w:gridCol w:w="2880"/>
        <w:gridCol w:w="2880"/>
        <w:gridCol w:w="2880"/>
      </w:tblGrid>
      <w:tr>
        <w:tc>
          <w:tcPr>
            <w:tcW w:type="dxa" w:w="3024"/>
            <w:shd w:fill="0B2545"/>
          </w:tcPr>
          <w:p>
            <w:r/>
            <w:r>
              <w:rPr>
                <w:b/>
                <w:color w:val="FFFFFF"/>
                <w:sz w:val="19"/>
              </w:rPr>
              <w:t>Role</w:t>
            </w:r>
          </w:p>
        </w:tc>
        <w:tc>
          <w:tcPr>
            <w:tcW w:type="dxa" w:w="576"/>
            <w:shd w:fill="0B2545"/>
          </w:tcPr>
          <w:p>
            <w:r/>
            <w:r>
              <w:rPr>
                <w:b/>
                <w:color w:val="FFFFFF"/>
                <w:sz w:val="19"/>
              </w:rPr>
              <w:t>#</w:t>
            </w:r>
          </w:p>
        </w:tc>
        <w:tc>
          <w:tcPr>
            <w:tcW w:type="dxa" w:w="6192"/>
            <w:shd w:fill="0B2545"/>
          </w:tcPr>
          <w:p>
            <w:r/>
            <w:r>
              <w:rPr>
                <w:b/>
                <w:color w:val="FFFFFF"/>
                <w:sz w:val="19"/>
              </w:rPr>
              <w:t>Profile</w:t>
            </w:r>
          </w:p>
        </w:tc>
      </w:tr>
      <w:tr>
        <w:tc>
          <w:tcPr>
            <w:tcW w:type="dxa" w:w="3024"/>
          </w:tcPr>
          <w:p>
            <w:r/>
            <w:r>
              <w:rPr>
                <w:sz w:val="19"/>
              </w:rPr>
              <w:t>Head of Engaged Equities (Partner)</w:t>
            </w:r>
          </w:p>
        </w:tc>
        <w:tc>
          <w:tcPr>
            <w:tcW w:type="dxa" w:w="576"/>
          </w:tcPr>
          <w:p>
            <w:r/>
            <w:r>
              <w:rPr>
                <w:sz w:val="19"/>
              </w:rPr>
              <w:t>1</w:t>
            </w:r>
          </w:p>
        </w:tc>
        <w:tc>
          <w:tcPr>
            <w:tcW w:type="dxa" w:w="6192"/>
          </w:tcPr>
          <w:p>
            <w:r/>
            <w:r>
              <w:rPr>
                <w:sz w:val="19"/>
              </w:rPr>
              <w:t>Senior hire with 15+ years in engaged/activist investing (Cevian, European activist franchise, or top-tier event-driven background) plus Nordic board credibility. Sits on Nordic Capital's Executive Committee; co-PM with the Deputy.</w:t>
            </w:r>
          </w:p>
        </w:tc>
      </w:tr>
      <w:tr>
        <w:tc>
          <w:tcPr>
            <w:tcW w:type="dxa" w:w="3024"/>
            <w:shd w:fill="F2F4F8"/>
          </w:tcPr>
          <w:p>
            <w:r/>
            <w:r>
              <w:rPr>
                <w:sz w:val="19"/>
              </w:rPr>
              <w:t>Deputy PM / Head of Research</w:t>
            </w:r>
          </w:p>
        </w:tc>
        <w:tc>
          <w:tcPr>
            <w:tcW w:type="dxa" w:w="576"/>
            <w:shd w:fill="F2F4F8"/>
          </w:tcPr>
          <w:p>
            <w:r/>
            <w:r>
              <w:rPr>
                <w:sz w:val="19"/>
              </w:rPr>
              <w:t>1</w:t>
            </w:r>
          </w:p>
        </w:tc>
        <w:tc>
          <w:tcPr>
            <w:tcW w:type="dxa" w:w="6192"/>
            <w:shd w:fill="F2F4F8"/>
          </w:tcPr>
          <w:p>
            <w:r/>
            <w:r>
              <w:rPr>
                <w:sz w:val="19"/>
              </w:rPr>
              <w:t>Internal transfer or hire; owns underwriting standards and the red-team process.</w:t>
            </w:r>
          </w:p>
        </w:tc>
      </w:tr>
      <w:tr>
        <w:tc>
          <w:tcPr>
            <w:tcW w:type="dxa" w:w="3024"/>
          </w:tcPr>
          <w:p>
            <w:r/>
            <w:r>
              <w:rPr>
                <w:sz w:val="19"/>
              </w:rPr>
              <w:t>Sector Principals</w:t>
            </w:r>
          </w:p>
        </w:tc>
        <w:tc>
          <w:tcPr>
            <w:tcW w:type="dxa" w:w="576"/>
          </w:tcPr>
          <w:p>
            <w:r/>
            <w:r>
              <w:rPr>
                <w:sz w:val="19"/>
              </w:rPr>
              <w:t>2</w:t>
            </w:r>
          </w:p>
        </w:tc>
        <w:tc>
          <w:tcPr>
            <w:tcW w:type="dxa" w:w="6192"/>
          </w:tcPr>
          <w:p>
            <w:r/>
            <w:r>
              <w:rPr>
                <w:sz w:val="19"/>
              </w:rPr>
              <w:t>Healthcare/MedTech and Industrials/Technology; principal-level, each capable of leading a campaign end-to-end.</w:t>
            </w:r>
          </w:p>
        </w:tc>
      </w:tr>
      <w:tr>
        <w:tc>
          <w:tcPr>
            <w:tcW w:type="dxa" w:w="3024"/>
            <w:shd w:fill="F2F4F8"/>
          </w:tcPr>
          <w:p>
            <w:r/>
            <w:r>
              <w:rPr>
                <w:sz w:val="19"/>
              </w:rPr>
              <w:t>Investment professionals</w:t>
            </w:r>
          </w:p>
        </w:tc>
        <w:tc>
          <w:tcPr>
            <w:tcW w:type="dxa" w:w="576"/>
            <w:shd w:fill="F2F4F8"/>
          </w:tcPr>
          <w:p>
            <w:r/>
            <w:r>
              <w:rPr>
                <w:sz w:val="19"/>
              </w:rPr>
              <w:t>4–5</w:t>
            </w:r>
          </w:p>
        </w:tc>
        <w:tc>
          <w:tcPr>
            <w:tcW w:type="dxa" w:w="6192"/>
            <w:shd w:fill="F2F4F8"/>
          </w:tcPr>
          <w:p>
            <w:r/>
            <w:r>
              <w:rPr>
                <w:sz w:val="19"/>
              </w:rPr>
              <w:t>Associate/VP level; modelling, register analytics, peer benchmarking. Mix of PE, equity research and special-situations backgrounds.</w:t>
            </w:r>
          </w:p>
        </w:tc>
      </w:tr>
      <w:tr>
        <w:tc>
          <w:tcPr>
            <w:tcW w:type="dxa" w:w="3024"/>
          </w:tcPr>
          <w:p>
            <w:r/>
            <w:r>
              <w:rPr>
                <w:sz w:val="19"/>
              </w:rPr>
              <w:t>Head of Stewardship &amp; Governance</w:t>
            </w:r>
          </w:p>
        </w:tc>
        <w:tc>
          <w:tcPr>
            <w:tcW w:type="dxa" w:w="576"/>
          </w:tcPr>
          <w:p>
            <w:r/>
            <w:r>
              <w:rPr>
                <w:sz w:val="19"/>
              </w:rPr>
              <w:t>1</w:t>
            </w:r>
          </w:p>
        </w:tc>
        <w:tc>
          <w:tcPr>
            <w:tcW w:type="dxa" w:w="6192"/>
          </w:tcPr>
          <w:p>
            <w:r/>
            <w:r>
              <w:rPr>
                <w:sz w:val="19"/>
              </w:rPr>
              <w:t>Drives nomination-committee work, director sourcing from the operating-advisor bench, proxy strategy and engagement documentation.</w:t>
            </w:r>
          </w:p>
        </w:tc>
      </w:tr>
      <w:tr>
        <w:tc>
          <w:tcPr>
            <w:tcW w:type="dxa" w:w="3024"/>
            <w:shd w:fill="F2F4F8"/>
          </w:tcPr>
          <w:p>
            <w:r/>
            <w:r>
              <w:rPr>
                <w:sz w:val="19"/>
              </w:rPr>
              <w:t>Dedicated Compliance Officer</w:t>
            </w:r>
          </w:p>
        </w:tc>
        <w:tc>
          <w:tcPr>
            <w:tcW w:type="dxa" w:w="576"/>
            <w:shd w:fill="F2F4F8"/>
          </w:tcPr>
          <w:p>
            <w:r/>
            <w:r>
              <w:rPr>
                <w:sz w:val="19"/>
              </w:rPr>
              <w:t>1</w:t>
            </w:r>
          </w:p>
        </w:tc>
        <w:tc>
          <w:tcPr>
            <w:tcW w:type="dxa" w:w="6192"/>
            <w:shd w:fill="F2F4F8"/>
          </w:tcPr>
          <w:p>
            <w:r/>
            <w:r>
              <w:rPr>
                <w:sz w:val="19"/>
              </w:rPr>
              <w:t>Owns the information barrier with the PE business; reports to Group GC, not to the PM.</w:t>
            </w:r>
          </w:p>
        </w:tc>
      </w:tr>
      <w:tr>
        <w:tc>
          <w:tcPr>
            <w:tcW w:type="dxa" w:w="3024"/>
          </w:tcPr>
          <w:p>
            <w:r/>
            <w:r>
              <w:rPr>
                <w:sz w:val="19"/>
              </w:rPr>
              <w:t>COO/IR (shared with platform)</w:t>
            </w:r>
          </w:p>
        </w:tc>
        <w:tc>
          <w:tcPr>
            <w:tcW w:type="dxa" w:w="576"/>
          </w:tcPr>
          <w:p>
            <w:r/>
            <w:r>
              <w:rPr>
                <w:sz w:val="19"/>
              </w:rPr>
              <w:t>0.5</w:t>
            </w:r>
          </w:p>
        </w:tc>
        <w:tc>
          <w:tcPr>
            <w:tcW w:type="dxa" w:w="6192"/>
          </w:tcPr>
          <w:p>
            <w:r/>
            <w:r>
              <w:rPr>
                <w:sz w:val="19"/>
              </w:rPr>
              <w:t>Fund operations, LP reporting, co-investment execution.</w:t>
            </w:r>
          </w:p>
        </w:tc>
      </w:tr>
    </w:tbl>
    <w:p/>
    <w:p>
      <w:pPr>
        <w:pStyle w:val="Heading2"/>
      </w:pPr>
      <w:r>
        <w:t>9.1 Governance &amp; conflicts framework (the make-or-break design issue)</w:t>
      </w:r>
    </w:p>
    <w:p>
      <w:pPr>
        <w:pStyle w:val="ListBullet"/>
        <w:spacing w:after="80"/>
      </w:pPr>
      <w:r>
        <w:rPr>
          <w:b/>
        </w:rPr>
        <w:t xml:space="preserve">Information barrier: </w:t>
      </w:r>
      <w:r>
        <w:t>the public-equities team sits outside the PE deal-flow perimeter; no access to live PE process information; restricted-list screening before any accumulation; wall-crossing only via documented GC approval.</w:t>
      </w:r>
    </w:p>
    <w:p>
      <w:pPr>
        <w:pStyle w:val="ListBullet"/>
        <w:spacing w:after="80"/>
      </w:pPr>
      <w:r>
        <w:rPr>
          <w:b/>
        </w:rPr>
        <w:t xml:space="preserve">Take-private protocol: </w:t>
      </w:r>
      <w:r>
        <w:t>if a portfolio position becomes a buyout-fund target, the public fund's participation/exit is governed by a pre-agreed, LPAC-disclosed protocol (independent pricing, optional roll or cash-out, conflicted-party abstentions).</w:t>
      </w:r>
    </w:p>
    <w:p>
      <w:pPr>
        <w:pStyle w:val="ListBullet"/>
        <w:spacing w:after="80"/>
      </w:pPr>
      <w:r>
        <w:rPr>
          <w:b/>
        </w:rPr>
        <w:t xml:space="preserve">Reputation committee: </w:t>
      </w:r>
      <w:r>
        <w:t>any public escalation, media engagement or EGM requisition requires sign-off from a committee including the Managing Partner — the firm's 30-year brand is the strategy's key asset and is governed accordingly.</w:t>
      </w:r>
    </w:p>
    <w:p>
      <w:pPr>
        <w:pStyle w:val="ListBullet"/>
        <w:spacing w:after="80"/>
      </w:pPr>
      <w:r>
        <w:rPr>
          <w:b/>
        </w:rPr>
        <w:t xml:space="preserve">Investment Committee: </w:t>
      </w:r>
      <w:r>
        <w:t>Head of Engaged Equities, Deputy PM, one PE Partner (conflict-cleared per situation), Managing Partner ex-officio.</w:t>
      </w:r>
    </w:p>
    <w:p>
      <w:r>
        <w:br w:type="page"/>
      </w:r>
    </w:p>
    <w:p>
      <w:pPr>
        <w:pStyle w:val="Heading1"/>
      </w:pPr>
      <w:r>
        <w:t>10. Economics for the Platform</w:t>
      </w:r>
    </w:p>
    <w:p>
      <w:pPr>
        <w:pStyle w:val="ListBullet"/>
        <w:spacing w:after="80"/>
      </w:pPr>
      <w:r>
        <w:t>At USD 1.5bn and 1.375% blended management fee: ~USD 20m annual fee revenue against a ~USD 12–14m steady-state cost base — accretive from year two even before performance fees.</w:t>
      </w:r>
    </w:p>
    <w:p>
      <w:pPr>
        <w:pStyle w:val="ListBullet"/>
        <w:spacing w:after="80"/>
      </w:pPr>
      <w:r>
        <w:t>At 15% gross portfolio return, performance fees of ~USD 30–35m per crystallisation cycle at target size.</w:t>
      </w:r>
    </w:p>
    <w:p>
      <w:pPr>
        <w:pStyle w:val="ListBullet"/>
        <w:spacing w:after="80"/>
      </w:pPr>
      <w:r>
        <w:t>Strategic P&amp;L is larger than the direct P&amp;L: one incremental take-private sourced through the public strategy, or one carve-out acquired by the flagship funds, likely exceeds the vehicle's annual fee income in value to the platform.</w:t>
      </w:r>
    </w:p>
    <w:p>
      <w:pPr>
        <w:pStyle w:val="Heading1"/>
      </w:pPr>
      <w:r>
        <w:t>11. Risks &amp; Mitigants</w:t>
      </w:r>
    </w:p>
    <w:tbl>
      <w:tblPr>
        <w:tblStyle w:val="TableGrid"/>
        <w:tblW w:type="auto" w:w="0"/>
        <w:jc w:val="center"/>
        <w:tblLook w:firstColumn="1" w:firstRow="1" w:lastColumn="0" w:lastRow="0" w:noHBand="0" w:noVBand="1" w:val="04A0"/>
      </w:tblPr>
      <w:tblGrid>
        <w:gridCol w:w="4320"/>
        <w:gridCol w:w="4320"/>
      </w:tblGrid>
      <w:tr>
        <w:tc>
          <w:tcPr>
            <w:tcW w:type="dxa" w:w="4320"/>
            <w:shd w:fill="0B2545"/>
          </w:tcPr>
          <w:p>
            <w:r/>
            <w:r>
              <w:rPr>
                <w:b/>
                <w:color w:val="FFFFFF"/>
                <w:sz w:val="19"/>
              </w:rPr>
              <w:t>Risk</w:t>
            </w:r>
          </w:p>
        </w:tc>
        <w:tc>
          <w:tcPr>
            <w:tcW w:type="dxa" w:w="5472"/>
            <w:shd w:fill="0B2545"/>
          </w:tcPr>
          <w:p>
            <w:r/>
            <w:r>
              <w:rPr>
                <w:b/>
                <w:color w:val="FFFFFF"/>
                <w:sz w:val="19"/>
              </w:rPr>
              <w:t>Mitigant</w:t>
            </w:r>
          </w:p>
        </w:tc>
      </w:tr>
      <w:tr>
        <w:tc>
          <w:tcPr>
            <w:tcW w:type="dxa" w:w="4320"/>
          </w:tcPr>
          <w:p>
            <w:r/>
            <w:r>
              <w:rPr>
                <w:sz w:val="19"/>
              </w:rPr>
              <w:t>Reputational spillover to the PE franchise from a contentious campaign</w:t>
            </w:r>
          </w:p>
        </w:tc>
        <w:tc>
          <w:tcPr>
            <w:tcW w:type="dxa" w:w="5472"/>
          </w:tcPr>
          <w:p>
            <w:r/>
            <w:r>
              <w:rPr>
                <w:sz w:val="19"/>
              </w:rPr>
              <w:t>Constructive-first doctrine; reputation committee veto on escalation; no hostile opening moves; Cevian's record shows the model rarely requires public conflict in the Nordics.</w:t>
            </w:r>
          </w:p>
        </w:tc>
      </w:tr>
      <w:tr>
        <w:tc>
          <w:tcPr>
            <w:tcW w:type="dxa" w:w="4320"/>
            <w:shd w:fill="F2F4F8"/>
          </w:tcPr>
          <w:p>
            <w:r/>
            <w:r>
              <w:rPr>
                <w:sz w:val="19"/>
              </w:rPr>
              <w:t>Conflicts / MNPI between public and private strategies</w:t>
            </w:r>
          </w:p>
        </w:tc>
        <w:tc>
          <w:tcPr>
            <w:tcW w:type="dxa" w:w="5472"/>
            <w:shd w:fill="F2F4F8"/>
          </w:tcPr>
          <w:p>
            <w:r/>
            <w:r>
              <w:rPr>
                <w:sz w:val="19"/>
              </w:rPr>
              <w:t>Hard information barrier, dedicated compliance officer, restricted lists, LPAC-disclosed take-private protocol (Section 9.1).</w:t>
            </w:r>
          </w:p>
        </w:tc>
      </w:tr>
      <w:tr>
        <w:tc>
          <w:tcPr>
            <w:tcW w:type="dxa" w:w="4320"/>
          </w:tcPr>
          <w:p>
            <w:r/>
            <w:r>
              <w:rPr>
                <w:sz w:val="19"/>
              </w:rPr>
              <w:t>Sphere control blocks change (dual-class shares, foundations)</w:t>
            </w:r>
          </w:p>
        </w:tc>
        <w:tc>
          <w:tcPr>
            <w:tcW w:type="dxa" w:w="5472"/>
          </w:tcPr>
          <w:p>
            <w:r/>
            <w:r>
              <w:rPr>
                <w:sz w:val="19"/>
              </w:rPr>
              <w:t>Screen 3 excludes hostile-controller situations ex ante; where spheres are present, engage them as allies first.</w:t>
            </w:r>
          </w:p>
        </w:tc>
      </w:tr>
      <w:tr>
        <w:tc>
          <w:tcPr>
            <w:tcW w:type="dxa" w:w="4320"/>
            <w:shd w:fill="F2F4F8"/>
          </w:tcPr>
          <w:p>
            <w:r/>
            <w:r>
              <w:rPr>
                <w:sz w:val="19"/>
              </w:rPr>
              <w:t>Liquidity in SEK/NOK/DKK mid-caps</w:t>
            </w:r>
          </w:p>
        </w:tc>
        <w:tc>
          <w:tcPr>
            <w:tcW w:type="dxa" w:w="5472"/>
            <w:shd w:fill="F2F4F8"/>
          </w:tcPr>
          <w:p>
            <w:r/>
            <w:r>
              <w:rPr>
                <w:sz w:val="19"/>
              </w:rPr>
              <w:t>Position sizing tied to ADV; evergreen structure with gates; co-invest sleeves absorb size; exits often via strategic events rather than market sales.</w:t>
            </w:r>
          </w:p>
        </w:tc>
      </w:tr>
      <w:tr>
        <w:tc>
          <w:tcPr>
            <w:tcW w:type="dxa" w:w="4320"/>
          </w:tcPr>
          <w:p>
            <w:r/>
            <w:r>
              <w:rPr>
                <w:sz w:val="19"/>
              </w:rPr>
              <w:t>Key-person dependence on the Head of Engaged Equities</w:t>
            </w:r>
          </w:p>
        </w:tc>
        <w:tc>
          <w:tcPr>
            <w:tcW w:type="dxa" w:w="5472"/>
          </w:tcPr>
          <w:p>
            <w:r/>
            <w:r>
              <w:rPr>
                <w:sz w:val="19"/>
              </w:rPr>
              <w:t>Co-PM structure, institutional IC process, equity in the management company.</w:t>
            </w:r>
          </w:p>
        </w:tc>
      </w:tr>
      <w:tr>
        <w:tc>
          <w:tcPr>
            <w:tcW w:type="dxa" w:w="4320"/>
            <w:shd w:fill="F2F4F8"/>
          </w:tcPr>
          <w:p>
            <w:r/>
            <w:r>
              <w:rPr>
                <w:sz w:val="19"/>
              </w:rPr>
              <w:t>Cycle risk: a Nordic downturn delays re-rating</w:t>
            </w:r>
          </w:p>
        </w:tc>
        <w:tc>
          <w:tcPr>
            <w:tcW w:type="dxa" w:w="5472"/>
            <w:shd w:fill="F2F4F8"/>
          </w:tcPr>
          <w:p>
            <w:r/>
            <w:r>
              <w:rPr>
                <w:sz w:val="19"/>
              </w:rPr>
              <w:t>Entry discounts of 30%+ provide margin of safety; engagement catalysts are largely cycle-independent (separations, governance, capital allocation).</w:t>
            </w:r>
          </w:p>
        </w:tc>
      </w:tr>
      <w:tr>
        <w:tc>
          <w:tcPr>
            <w:tcW w:type="dxa" w:w="4320"/>
          </w:tcPr>
          <w:p>
            <w:r/>
            <w:r>
              <w:rPr>
                <w:sz w:val="19"/>
              </w:rPr>
              <w:t>Talent competition (Active Value Partners et al. hiring the same bench)</w:t>
            </w:r>
          </w:p>
        </w:tc>
        <w:tc>
          <w:tcPr>
            <w:tcW w:type="dxa" w:w="5472"/>
          </w:tcPr>
          <w:p>
            <w:r/>
            <w:r>
              <w:rPr>
                <w:sz w:val="19"/>
              </w:rPr>
              <w:t>Move decisively in 2026; Nordic Capital's platform economics and brand beat start-up offers for the right principal-level talent.</w:t>
            </w:r>
          </w:p>
        </w:tc>
      </w:tr>
    </w:tbl>
    <w:p/>
    <w:p>
      <w:pPr>
        <w:pStyle w:val="Heading1"/>
      </w:pPr>
      <w:r>
        <w:t>12. Implementation Roadmap</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B2545"/>
          </w:tcPr>
          <w:p>
            <w:r/>
            <w:r>
              <w:rPr>
                <w:b/>
                <w:color w:val="FFFFFF"/>
                <w:sz w:val="19"/>
              </w:rPr>
              <w:t>Phase</w:t>
            </w:r>
          </w:p>
        </w:tc>
        <w:tc>
          <w:tcPr>
            <w:tcW w:type="dxa" w:w="2016"/>
            <w:shd w:fill="0B2545"/>
          </w:tcPr>
          <w:p>
            <w:r/>
            <w:r>
              <w:rPr>
                <w:b/>
                <w:color w:val="FFFFFF"/>
                <w:sz w:val="19"/>
              </w:rPr>
              <w:t>Timing</w:t>
            </w:r>
          </w:p>
        </w:tc>
        <w:tc>
          <w:tcPr>
            <w:tcW w:type="dxa" w:w="5616"/>
            <w:shd w:fill="0B2545"/>
          </w:tcPr>
          <w:p>
            <w:r/>
            <w:r>
              <w:rPr>
                <w:b/>
                <w:color w:val="FFFFFF"/>
                <w:sz w:val="19"/>
              </w:rPr>
              <w:t>Milestones</w:t>
            </w:r>
          </w:p>
        </w:tc>
      </w:tr>
      <w:tr>
        <w:tc>
          <w:tcPr>
            <w:tcW w:type="dxa" w:w="2160"/>
          </w:tcPr>
          <w:p>
            <w:r/>
            <w:r>
              <w:rPr>
                <w:sz w:val="19"/>
              </w:rPr>
              <w:t>0. Decision &amp; design</w:t>
            </w:r>
          </w:p>
        </w:tc>
        <w:tc>
          <w:tcPr>
            <w:tcW w:type="dxa" w:w="2016"/>
          </w:tcPr>
          <w:p>
            <w:r/>
            <w:r>
              <w:rPr>
                <w:sz w:val="19"/>
              </w:rPr>
              <w:t>Jul–Sep 2026</w:t>
            </w:r>
          </w:p>
        </w:tc>
        <w:tc>
          <w:tcPr>
            <w:tcW w:type="dxa" w:w="5616"/>
          </w:tcPr>
          <w:p>
            <w:r/>
            <w:r>
              <w:rPr>
                <w:sz w:val="19"/>
              </w:rPr>
              <w:t>Executive Committee approval; conflicts framework drafted with GC; regulatory scoping (Lux RAIF / AIFM passport); search mandate for Head of Engaged Equities.</w:t>
            </w:r>
          </w:p>
        </w:tc>
      </w:tr>
      <w:tr>
        <w:tc>
          <w:tcPr>
            <w:tcW w:type="dxa" w:w="2160"/>
            <w:shd w:fill="F2F4F8"/>
          </w:tcPr>
          <w:p>
            <w:r/>
            <w:r>
              <w:rPr>
                <w:sz w:val="19"/>
              </w:rPr>
              <w:t>1. Build</w:t>
            </w:r>
          </w:p>
        </w:tc>
        <w:tc>
          <w:tcPr>
            <w:tcW w:type="dxa" w:w="2016"/>
            <w:shd w:fill="F2F4F8"/>
          </w:tcPr>
          <w:p>
            <w:r/>
            <w:r>
              <w:rPr>
                <w:sz w:val="19"/>
              </w:rPr>
              <w:t>Oct 2026 – Mar 2027</w:t>
            </w:r>
          </w:p>
        </w:tc>
        <w:tc>
          <w:tcPr>
            <w:tcW w:type="dxa" w:w="5616"/>
            <w:shd w:fill="F2F4F8"/>
          </w:tcPr>
          <w:p>
            <w:r/>
            <w:r>
              <w:rPr>
                <w:sz w:val="19"/>
              </w:rPr>
              <w:t>Head + Deputy hired; core team of 6; seed commitment EUR 150–200m closed; pipeline of 10–14 underwritten names; LP pre-marketing under existing relationships.</w:t>
            </w:r>
          </w:p>
        </w:tc>
      </w:tr>
      <w:tr>
        <w:tc>
          <w:tcPr>
            <w:tcW w:type="dxa" w:w="2160"/>
          </w:tcPr>
          <w:p>
            <w:r/>
            <w:r>
              <w:rPr>
                <w:sz w:val="19"/>
              </w:rPr>
              <w:t>2. First close &amp; deploy</w:t>
            </w:r>
          </w:p>
        </w:tc>
        <w:tc>
          <w:tcPr>
            <w:tcW w:type="dxa" w:w="2016"/>
          </w:tcPr>
          <w:p>
            <w:r/>
            <w:r>
              <w:rPr>
                <w:sz w:val="19"/>
              </w:rPr>
              <w:t>Apr–Sep 2027</w:t>
            </w:r>
          </w:p>
        </w:tc>
        <w:tc>
          <w:tcPr>
            <w:tcW w:type="dxa" w:w="5616"/>
          </w:tcPr>
          <w:p>
            <w:r/>
            <w:r>
              <w:rPr>
                <w:sz w:val="19"/>
              </w:rPr>
              <w:t>First close ~USD 750m; 2–3 positions accumulated against the Q3 2027 ownership snapshots that seat 2028 nomination committees.</w:t>
            </w:r>
          </w:p>
        </w:tc>
      </w:tr>
      <w:tr>
        <w:tc>
          <w:tcPr>
            <w:tcW w:type="dxa" w:w="2160"/>
            <w:shd w:fill="F2F4F8"/>
          </w:tcPr>
          <w:p>
            <w:r/>
            <w:r>
              <w:rPr>
                <w:sz w:val="19"/>
              </w:rPr>
              <w:t>3. Scale</w:t>
            </w:r>
          </w:p>
        </w:tc>
        <w:tc>
          <w:tcPr>
            <w:tcW w:type="dxa" w:w="2016"/>
            <w:shd w:fill="F2F4F8"/>
          </w:tcPr>
          <w:p>
            <w:r/>
            <w:r>
              <w:rPr>
                <w:sz w:val="19"/>
              </w:rPr>
              <w:t>Oct 2027 – Dec 2028</w:t>
            </w:r>
          </w:p>
        </w:tc>
        <w:tc>
          <w:tcPr>
            <w:tcW w:type="dxa" w:w="5616"/>
            <w:shd w:fill="F2F4F8"/>
          </w:tcPr>
          <w:p>
            <w:r/>
            <w:r>
              <w:rPr>
                <w:sz w:val="19"/>
              </w:rPr>
              <w:t>Final close USD 1.5–2.0bn; 6–8 positions; first nomination-committee seats and director appointments at the 2028 AGM season; first realisation events 2029.</w:t>
            </w:r>
          </w:p>
        </w:tc>
      </w:tr>
    </w:tbl>
    <w:p/>
    <w:p>
      <w:pPr>
        <w:pStyle w:val="Heading1"/>
      </w:pPr>
      <w:r>
        <w:t>Appendix: Disclaimer</w:t>
      </w:r>
    </w:p>
    <w:p>
      <w:r>
        <w:rPr>
          <w:b w:val="0"/>
          <w:i/>
          <w:color w:val="595959"/>
          <w:sz w:val="18"/>
        </w:rPr>
        <w:t>This document is illustrative discussion material prepared for internal strategy purposes. All references to listed companies are based exclusively on publicly available information and do not constitute research, investment advice, or a recommendation or solicitation to buy or sell any security. Figures marked as estimates are directional and unaudited. Any launch of the strategy described would be subject to legal, regulatory, tax and conflicts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Georgia" w:hAnsi="Georgia"/>
      <w:b/>
      <w:bCs/>
      <w:color w:val="0B2545"/>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Georgia" w:hAnsi="Georgia"/>
      <w:b/>
      <w:bCs/>
      <w:color w:val="0B254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Georgia" w:hAnsi="Georgia"/>
      <w:b/>
      <w:bCs/>
      <w:color w:val="C49A3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