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TLC Project Discussion Meeting |MINUTES</w:t>
      </w:r>
    </w:p>
    <w:p w:rsidR="00000000" w:rsidDel="00000000" w:rsidP="00000000" w:rsidRDefault="00000000" w:rsidRPr="00000000" w14:paraId="00000002">
      <w:pPr>
        <w:pStyle w:val="Subtitle"/>
        <w:rPr/>
      </w:pPr>
      <w:r w:rsidDel="00000000" w:rsidR="00000000" w:rsidRPr="00000000">
        <w:rPr>
          <w:i w:val="1"/>
          <w:color w:val="000000"/>
          <w:rtl w:val="0"/>
        </w:rPr>
        <w:t xml:space="preserve">10/10/2019 2:30 PM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pStyle w:val="Subtitle"/>
        <w:rPr>
          <w:i w:val="1"/>
          <w:color w:val="000000"/>
        </w:rPr>
      </w:pPr>
      <w:r w:rsidDel="00000000" w:rsidR="00000000" w:rsidRPr="00000000">
        <w:rPr>
          <w:rtl w:val="0"/>
        </w:rPr>
        <w:t xml:space="preserve">Cegep Heritage College Room</w:t>
      </w:r>
      <w:r w:rsidDel="00000000" w:rsidR="00000000" w:rsidRPr="00000000">
        <w:rPr>
          <w:i w:val="1"/>
          <w:color w:val="000000"/>
          <w:rtl w:val="0"/>
        </w:rPr>
        <w:t xml:space="preserve"> </w:t>
      </w:r>
      <w:r w:rsidDel="00000000" w:rsidR="00000000" w:rsidRPr="00000000">
        <w:rPr>
          <w:rtl w:val="0"/>
        </w:rPr>
        <w:t xml:space="preserve">C201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/>
      </w:pPr>
      <w:r w:rsidDel="00000000" w:rsidR="00000000" w:rsidRPr="00000000">
        <w:rPr>
          <w:rtl w:val="0"/>
        </w:rPr>
        <w:t xml:space="preserve">Attendees</w:t>
      </w:r>
    </w:p>
    <w:p w:rsidR="00000000" w:rsidDel="00000000" w:rsidP="00000000" w:rsidRDefault="00000000" w:rsidRPr="00000000" w14:paraId="00000005">
      <w:pPr>
        <w:pStyle w:val="Subtitle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79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96"/>
        <w:gridCol w:w="3597"/>
        <w:gridCol w:w="3597"/>
        <w:tblGridChange w:id="0">
          <w:tblGrid>
            <w:gridCol w:w="3596"/>
            <w:gridCol w:w="3597"/>
            <w:gridCol w:w="3597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Guy Beaulieu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Product Owner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Richard Chan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Project Coordinator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B">
            <w:pPr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Cody Douris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Developer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E">
            <w:pPr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Slava Knyazev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Developer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1">
            <w:pPr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Patrick Mirowski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Developer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4">
            <w:pPr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Thomas Palaisy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Developer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7">
            <w:pPr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Lianne Spurdle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Developer &amp; Scribe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A">
            <w:pPr>
              <w:ind w:left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pStyle w:val="Heading1"/>
        <w:rPr/>
      </w:pPr>
      <w:r w:rsidDel="00000000" w:rsidR="00000000" w:rsidRPr="00000000">
        <w:rPr>
          <w:rtl w:val="0"/>
        </w:rPr>
        <w:t xml:space="preserve">Invited but Did Not Attend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Everyone attended.</w:t>
      </w:r>
    </w:p>
    <w:p w:rsidR="00000000" w:rsidDel="00000000" w:rsidP="00000000" w:rsidRDefault="00000000" w:rsidRPr="00000000" w14:paraId="0000001D">
      <w:pPr>
        <w:pStyle w:val="Heading1"/>
        <w:rPr/>
      </w:pPr>
      <w:r w:rsidDel="00000000" w:rsidR="00000000" w:rsidRPr="00000000">
        <w:rPr>
          <w:rtl w:val="0"/>
        </w:rPr>
        <w:t xml:space="preserve">Subject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Discussion of the owner’s understanding of the system, the owner's priorities, and team’s priorities.</w:t>
      </w:r>
    </w:p>
    <w:p w:rsidR="00000000" w:rsidDel="00000000" w:rsidP="00000000" w:rsidRDefault="00000000" w:rsidRPr="00000000" w14:paraId="0000001F">
      <w:pPr>
        <w:pStyle w:val="Subtitle"/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/>
      </w:pPr>
      <w:r w:rsidDel="00000000" w:rsidR="00000000" w:rsidRPr="00000000">
        <w:rPr>
          <w:rtl w:val="0"/>
        </w:rPr>
        <w:t xml:space="preserve">Discussion Topics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The roles interacting with the system are: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Teacher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Student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Academic Services </w:t>
      </w:r>
    </w:p>
    <w:p w:rsidR="00000000" w:rsidDel="00000000" w:rsidP="00000000" w:rsidRDefault="00000000" w:rsidRPr="00000000" w14:paraId="00000025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  <w:t xml:space="preserve">Academic services may not have a user interface for the system. The delivery method of the data gathered will be investigated further.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The priorities for the system's features, as set by the owner, are as follows: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Teacher queue per subject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Student queue per subject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Scheduling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Notify student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Group sessions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Delay student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Estimated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Queue per teacher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Reason for leaving queue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Directed survey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Output reports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Track system usage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Directed surveys are an unresolved task due to the fact that it would communicate with another system, so further technical investigation is required to resolve it.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 xml:space="preserve">The release schedule is as follows:</w:t>
      </w:r>
    </w:p>
    <w:tbl>
      <w:tblPr>
        <w:tblStyle w:val="Table2"/>
        <w:tblW w:w="98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00"/>
        <w:gridCol w:w="5100"/>
        <w:gridCol w:w="2640"/>
        <w:tblGridChange w:id="0">
          <w:tblGrid>
            <w:gridCol w:w="2100"/>
            <w:gridCol w:w="5100"/>
            <w:gridCol w:w="26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Release 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Amount of 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End of Release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 month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December 2019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 months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May 2020</w:t>
            </w:r>
          </w:p>
        </w:tc>
      </w:tr>
    </w:tbl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Due to the differences in time-budget between the first and second release, the priorities for each release are different. Because the construction period for the first release is short, its goal is to have a minimal system with the most basic structure that can afterwards be built on: the team is to prioritize the implementation of features over quality, security, or any other factor. The second release has a longer construction period, so the priorities are placed on security and quality at the expense of feature completeness so the application meets standards for release.</w:t>
      </w:r>
    </w:p>
    <w:p w:rsidR="00000000" w:rsidDel="00000000" w:rsidP="00000000" w:rsidRDefault="00000000" w:rsidRPr="00000000" w14:paraId="00000040">
      <w:pPr>
        <w:pStyle w:val="Heading1"/>
        <w:rPr/>
      </w:pPr>
      <w:r w:rsidDel="00000000" w:rsidR="00000000" w:rsidRPr="00000000">
        <w:rPr>
          <w:rtl w:val="0"/>
        </w:rPr>
        <w:t xml:space="preserve">Decisions</w:t>
      </w:r>
    </w:p>
    <w:tbl>
      <w:tblPr>
        <w:tblStyle w:val="Table3"/>
        <w:tblW w:w="9825.0" w:type="dxa"/>
        <w:jc w:val="left"/>
        <w:tblInd w:w="7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65"/>
        <w:gridCol w:w="9060"/>
        <w:tblGridChange w:id="0">
          <w:tblGrid>
            <w:gridCol w:w="765"/>
            <w:gridCol w:w="906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41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D1</w:t>
            </w:r>
          </w:p>
        </w:tc>
        <w:tc>
          <w:tcPr/>
          <w:p w:rsidR="00000000" w:rsidDel="00000000" w:rsidP="00000000" w:rsidRDefault="00000000" w:rsidRPr="00000000" w14:paraId="00000042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The history of the queues does not need to be implemented.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43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D2</w:t>
            </w:r>
          </w:p>
        </w:tc>
        <w:tc>
          <w:tcPr/>
          <w:p w:rsidR="00000000" w:rsidDel="00000000" w:rsidP="00000000" w:rsidRDefault="00000000" w:rsidRPr="00000000" w14:paraId="00000044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Mobile first design should be prioritized.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45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D3</w:t>
            </w:r>
          </w:p>
        </w:tc>
        <w:tc>
          <w:tcPr/>
          <w:p w:rsidR="00000000" w:rsidDel="00000000" w:rsidP="00000000" w:rsidRDefault="00000000" w:rsidRPr="00000000" w14:paraId="00000046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Teachers should be able to manage their schedules.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47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D4</w:t>
            </w:r>
          </w:p>
        </w:tc>
        <w:tc>
          <w:tcPr/>
          <w:p w:rsidR="00000000" w:rsidDel="00000000" w:rsidP="00000000" w:rsidRDefault="00000000" w:rsidRPr="00000000" w14:paraId="00000048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The priorities of the first release in order are “Queue per Subject”,”Scheduling”,”Notify Student”,”Group Sessions”,”Delay Student”. 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49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D5</w:t>
            </w:r>
          </w:p>
        </w:tc>
        <w:tc>
          <w:tcPr/>
          <w:p w:rsidR="00000000" w:rsidDel="00000000" w:rsidP="00000000" w:rsidRDefault="00000000" w:rsidRPr="00000000" w14:paraId="0000004A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The temporary name of the project is Digital Log Book.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4B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D6</w:t>
            </w:r>
          </w:p>
        </w:tc>
        <w:tc>
          <w:tcPr/>
          <w:p w:rsidR="00000000" w:rsidDel="00000000" w:rsidP="00000000" w:rsidRDefault="00000000" w:rsidRPr="00000000" w14:paraId="0000004C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The teacher flow will be given a higher priority than the student flow.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4D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D7</w:t>
            </w:r>
          </w:p>
        </w:tc>
        <w:tc>
          <w:tcPr/>
          <w:p w:rsidR="00000000" w:rsidDel="00000000" w:rsidP="00000000" w:rsidRDefault="00000000" w:rsidRPr="00000000" w14:paraId="0000004E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If implemented, surveys are to be distributed through Omnivox.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4F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D8</w:t>
            </w:r>
          </w:p>
        </w:tc>
        <w:tc>
          <w:tcPr/>
          <w:p w:rsidR="00000000" w:rsidDel="00000000" w:rsidP="00000000" w:rsidRDefault="00000000" w:rsidRPr="00000000" w14:paraId="00000050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Students viewing queues must not be able to see other students' names.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51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D9</w:t>
            </w:r>
          </w:p>
        </w:tc>
        <w:tc>
          <w:tcPr/>
          <w:p w:rsidR="00000000" w:rsidDel="00000000" w:rsidP="00000000" w:rsidRDefault="00000000" w:rsidRPr="00000000" w14:paraId="00000052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Display picture, name, topic, and members of the party for the immediate next upcoming session.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53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D10</w:t>
            </w:r>
          </w:p>
        </w:tc>
        <w:tc>
          <w:tcPr/>
          <w:p w:rsidR="00000000" w:rsidDel="00000000" w:rsidP="00000000" w:rsidRDefault="00000000" w:rsidRPr="00000000" w14:paraId="00000054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Dropdown lists should be used for topics.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55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D11</w:t>
            </w:r>
          </w:p>
        </w:tc>
        <w:tc>
          <w:tcPr/>
          <w:p w:rsidR="00000000" w:rsidDel="00000000" w:rsidP="00000000" w:rsidRDefault="00000000" w:rsidRPr="00000000" w14:paraId="00000056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Students should be able to see all active queues not just for subjects they are enrolled in.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57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D12</w:t>
            </w:r>
          </w:p>
        </w:tc>
        <w:tc>
          <w:tcPr/>
          <w:p w:rsidR="00000000" w:rsidDel="00000000" w:rsidP="00000000" w:rsidRDefault="00000000" w:rsidRPr="00000000" w14:paraId="00000058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Group sessions will use a party system, where one student creates the session, receives a code, and other students use the code to join the session.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59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D13</w:t>
            </w:r>
          </w:p>
        </w:tc>
        <w:tc>
          <w:tcPr/>
          <w:p w:rsidR="00000000" w:rsidDel="00000000" w:rsidP="00000000" w:rsidRDefault="00000000" w:rsidRPr="00000000" w14:paraId="0000005A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Teachers can create sessions.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5B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D14</w:t>
            </w:r>
          </w:p>
        </w:tc>
        <w:tc>
          <w:tcPr/>
          <w:p w:rsidR="00000000" w:rsidDel="00000000" w:rsidP="00000000" w:rsidRDefault="00000000" w:rsidRPr="00000000" w14:paraId="0000005C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Queue headers must contain its schedule.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5D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D15</w:t>
            </w:r>
          </w:p>
        </w:tc>
        <w:tc>
          <w:tcPr/>
          <w:p w:rsidR="00000000" w:rsidDel="00000000" w:rsidP="00000000" w:rsidRDefault="00000000" w:rsidRPr="00000000" w14:paraId="0000005E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Academic Services functionality will be put into the backlog and re-examined once it is appropriately prioritized.</w:t>
            </w:r>
          </w:p>
        </w:tc>
      </w:tr>
    </w:tbl>
    <w:p w:rsidR="00000000" w:rsidDel="00000000" w:rsidP="00000000" w:rsidRDefault="00000000" w:rsidRPr="00000000" w14:paraId="0000005F">
      <w:pPr>
        <w:ind w:left="0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rPr/>
      </w:pPr>
      <w:r w:rsidDel="00000000" w:rsidR="00000000" w:rsidRPr="00000000">
        <w:rPr>
          <w:rtl w:val="0"/>
        </w:rPr>
        <w:t xml:space="preserve">Actions</w:t>
      </w:r>
    </w:p>
    <w:tbl>
      <w:tblPr>
        <w:tblStyle w:val="Table4"/>
        <w:tblW w:w="9855.0" w:type="dxa"/>
        <w:jc w:val="left"/>
        <w:tblInd w:w="7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810"/>
        <w:gridCol w:w="3870"/>
        <w:gridCol w:w="1755"/>
        <w:gridCol w:w="2700"/>
        <w:tblGridChange w:id="0">
          <w:tblGrid>
            <w:gridCol w:w="720"/>
            <w:gridCol w:w="810"/>
            <w:gridCol w:w="3870"/>
            <w:gridCol w:w="1755"/>
            <w:gridCol w:w="2700"/>
          </w:tblGrid>
        </w:tblGridChange>
      </w:tblGrid>
      <w:tr>
        <w:trPr>
          <w:trHeight w:val="560" w:hRule="atLeast"/>
        </w:trPr>
        <w:tc>
          <w:tcPr/>
          <w:p w:rsidR="00000000" w:rsidDel="00000000" w:rsidP="00000000" w:rsidRDefault="00000000" w:rsidRPr="00000000" w14:paraId="00000061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A1</w:t>
            </w:r>
          </w:p>
        </w:tc>
        <w:tc>
          <w:tcPr/>
          <w:p w:rsidR="00000000" w:rsidDel="00000000" w:rsidP="00000000" w:rsidRDefault="00000000" w:rsidRPr="00000000" w14:paraId="00000062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Guy</w:t>
            </w:r>
          </w:p>
        </w:tc>
        <w:tc>
          <w:tcPr/>
          <w:p w:rsidR="00000000" w:rsidDel="00000000" w:rsidP="00000000" w:rsidRDefault="00000000" w:rsidRPr="00000000" w14:paraId="00000063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Decide on a new name for the system that is appropriate for both the TLC and Cleo</w:t>
            </w:r>
          </w:p>
        </w:tc>
        <w:tc>
          <w:tcPr/>
          <w:p w:rsidR="00000000" w:rsidDel="00000000" w:rsidP="00000000" w:rsidRDefault="00000000" w:rsidRPr="00000000" w14:paraId="00000064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  <w:tc>
          <w:tcPr/>
          <w:p w:rsidR="00000000" w:rsidDel="00000000" w:rsidP="00000000" w:rsidRDefault="00000000" w:rsidRPr="00000000" w14:paraId="00000065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10/24/2019</w:t>
            </w:r>
          </w:p>
        </w:tc>
      </w:tr>
      <w:tr>
        <w:trPr>
          <w:trHeight w:val="560" w:hRule="atLeast"/>
        </w:trPr>
        <w:tc>
          <w:tcPr/>
          <w:p w:rsidR="00000000" w:rsidDel="00000000" w:rsidP="00000000" w:rsidRDefault="00000000" w:rsidRPr="00000000" w14:paraId="00000066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A2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before="0" w:lineRule="auto"/>
              <w:ind w:left="80" w:hanging="80"/>
              <w:rPr/>
            </w:pPr>
            <w:r w:rsidDel="00000000" w:rsidR="00000000" w:rsidRPr="00000000">
              <w:rPr>
                <w:rtl w:val="0"/>
              </w:rPr>
              <w:t xml:space="preserve">Guy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before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Make a list of subjects and topics at the TLC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before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before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10/24/2019</w:t>
            </w:r>
          </w:p>
        </w:tc>
      </w:tr>
      <w:tr>
        <w:trPr>
          <w:trHeight w:val="560" w:hRule="atLeast"/>
        </w:trPr>
        <w:tc>
          <w:tcPr/>
          <w:p w:rsidR="00000000" w:rsidDel="00000000" w:rsidP="00000000" w:rsidRDefault="00000000" w:rsidRPr="00000000" w14:paraId="0000006B">
            <w:pPr>
              <w:ind w:left="0"/>
              <w:rPr/>
            </w:pPr>
            <w:r w:rsidDel="00000000" w:rsidR="00000000" w:rsidRPr="00000000">
              <w:rPr>
                <w:rtl w:val="0"/>
              </w:rPr>
              <w:t xml:space="preserve">A3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before="0" w:lineRule="auto"/>
              <w:ind w:left="80" w:hanging="80"/>
              <w:rPr/>
            </w:pPr>
            <w:r w:rsidDel="00000000" w:rsidR="00000000" w:rsidRPr="00000000">
              <w:rPr>
                <w:rtl w:val="0"/>
              </w:rPr>
              <w:t xml:space="preserve">Cody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before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Send meeting minutes to Guy and Richard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before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before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10/11/2019</w:t>
            </w:r>
          </w:p>
        </w:tc>
      </w:tr>
    </w:tbl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rPr/>
      </w:pPr>
      <w:r w:rsidDel="00000000" w:rsidR="00000000" w:rsidRPr="00000000">
        <w:rPr>
          <w:rtl w:val="0"/>
        </w:rPr>
        <w:t xml:space="preserve">Follow up and next steps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spacing w:after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The development team will send out the Meeting Minutes to all meeting participants.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There will be a follow up meeting in mid-November to demonstrate the progress made.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Complete actions mentioned in above.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The project manager will send an email to the product owner to confirm the next meeting.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The team will send the product owner an email describing what can be expected for the demonstration in the next meeting.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pacing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The team will follow up on the feature concerning the teacher’s ability to manage schedule.</w:t>
      </w:r>
    </w:p>
    <w:sectPr>
      <w:footerReference r:id="rId7" w:type="default"/>
      <w:pgSz w:h="15840" w:w="12240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72" w:right="0" w:hanging="72"/>
      <w:jc w:val="right"/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alatino Linotype" w:cs="Palatino Linotype" w:eastAsia="Palatino Linotype" w:hAnsi="Palatino Linotype"/>
        <w:sz w:val="21"/>
        <w:szCs w:val="21"/>
        <w:lang w:val="en-US"/>
      </w:rPr>
    </w:rPrDefault>
    <w:pPrDefault>
      <w:pPr>
        <w:spacing w:after="40" w:before="120" w:lineRule="auto"/>
        <w:ind w:left="72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0" w:before="240" w:lineRule="auto"/>
      <w:ind w:left="0"/>
    </w:pPr>
    <w:rPr>
      <w:rFonts w:ascii="Century Gothic" w:cs="Century Gothic" w:eastAsia="Century Gothic" w:hAnsi="Century Gothic"/>
      <w:b w:val="1"/>
      <w:smallCaps w:val="1"/>
      <w:color w:val="1b587c"/>
      <w:sz w:val="26"/>
      <w:szCs w:val="26"/>
    </w:rPr>
  </w:style>
  <w:style w:type="paragraph" w:styleId="Heading2">
    <w:name w:val="heading 2"/>
    <w:basedOn w:val="Normal"/>
    <w:next w:val="Normal"/>
    <w:pPr>
      <w:pBdr>
        <w:bottom w:color="1b587c" w:space="1" w:sz="12" w:val="single"/>
      </w:pBdr>
      <w:spacing w:before="240" w:lineRule="auto"/>
      <w:ind w:left="0"/>
    </w:pPr>
    <w:rPr>
      <w:rFonts w:ascii="Century Gothic" w:cs="Century Gothic" w:eastAsia="Century Gothic" w:hAnsi="Century Gothic"/>
      <w:b w:val="1"/>
      <w:color w:val="f07f09"/>
    </w:rPr>
  </w:style>
  <w:style w:type="paragraph" w:styleId="Heading3">
    <w:name w:val="heading 3"/>
    <w:basedOn w:val="Normal"/>
    <w:next w:val="Normal"/>
    <w:pPr/>
    <w:rPr>
      <w:rFonts w:ascii="Century Gothic" w:cs="Century Gothic" w:eastAsia="Century Gothic" w:hAnsi="Century Gothic"/>
      <w:color w:val="f07f09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Century Gothic" w:cs="Century Gothic" w:eastAsia="Century Gothic" w:hAnsi="Century Gothic"/>
      <w:color w:val="b35f0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ind w:left="0"/>
    </w:pPr>
    <w:rPr>
      <w:rFonts w:ascii="Century Gothic" w:cs="Century Gothic" w:eastAsia="Century Gothic" w:hAnsi="Century Gothic"/>
      <w:color w:val="9f2936"/>
      <w:sz w:val="50"/>
      <w:szCs w:val="5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0" w:before="240" w:lineRule="auto"/>
      <w:ind w:left="0"/>
    </w:pPr>
    <w:rPr>
      <w:rFonts w:ascii="Century Gothic" w:cs="Century Gothic" w:eastAsia="Century Gothic" w:hAnsi="Century Gothic"/>
      <w:b w:val="1"/>
      <w:smallCaps w:val="1"/>
      <w:color w:val="1b587c"/>
      <w:sz w:val="26"/>
      <w:szCs w:val="26"/>
    </w:rPr>
  </w:style>
  <w:style w:type="paragraph" w:styleId="Heading2">
    <w:name w:val="heading 2"/>
    <w:basedOn w:val="Normal"/>
    <w:next w:val="Normal"/>
    <w:pPr>
      <w:pBdr>
        <w:bottom w:color="1b587c" w:space="1" w:sz="12" w:val="single"/>
      </w:pBdr>
      <w:spacing w:before="240" w:lineRule="auto"/>
      <w:ind w:left="0"/>
    </w:pPr>
    <w:rPr>
      <w:rFonts w:ascii="Century Gothic" w:cs="Century Gothic" w:eastAsia="Century Gothic" w:hAnsi="Century Gothic"/>
      <w:b w:val="1"/>
      <w:color w:val="f07f09"/>
    </w:rPr>
  </w:style>
  <w:style w:type="paragraph" w:styleId="Heading3">
    <w:name w:val="heading 3"/>
    <w:basedOn w:val="Normal"/>
    <w:next w:val="Normal"/>
    <w:pPr/>
    <w:rPr>
      <w:rFonts w:ascii="Century Gothic" w:cs="Century Gothic" w:eastAsia="Century Gothic" w:hAnsi="Century Gothic"/>
      <w:color w:val="f07f09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Century Gothic" w:cs="Century Gothic" w:eastAsia="Century Gothic" w:hAnsi="Century Gothic"/>
      <w:color w:val="b35f0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ind w:left="0"/>
    </w:pPr>
    <w:rPr>
      <w:rFonts w:ascii="Century Gothic" w:cs="Century Gothic" w:eastAsia="Century Gothic" w:hAnsi="Century Gothic"/>
      <w:color w:val="9f2936"/>
      <w:sz w:val="50"/>
      <w:szCs w:val="5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0" w:before="240" w:lineRule="auto"/>
      <w:ind w:left="0"/>
    </w:pPr>
    <w:rPr>
      <w:rFonts w:ascii="Century Gothic" w:cs="Century Gothic" w:eastAsia="Century Gothic" w:hAnsi="Century Gothic"/>
      <w:b w:val="1"/>
      <w:smallCaps w:val="1"/>
      <w:color w:val="1b587c"/>
      <w:sz w:val="26"/>
      <w:szCs w:val="26"/>
    </w:rPr>
  </w:style>
  <w:style w:type="paragraph" w:styleId="Heading2">
    <w:name w:val="heading 2"/>
    <w:basedOn w:val="Normal"/>
    <w:next w:val="Normal"/>
    <w:pPr>
      <w:pBdr>
        <w:bottom w:color="1b587c" w:space="1" w:sz="12" w:val="single"/>
      </w:pBdr>
      <w:spacing w:before="240" w:lineRule="auto"/>
      <w:ind w:left="0"/>
    </w:pPr>
    <w:rPr>
      <w:rFonts w:ascii="Century Gothic" w:cs="Century Gothic" w:eastAsia="Century Gothic" w:hAnsi="Century Gothic"/>
      <w:b w:val="1"/>
      <w:color w:val="f07f09"/>
    </w:rPr>
  </w:style>
  <w:style w:type="paragraph" w:styleId="Heading3">
    <w:name w:val="heading 3"/>
    <w:basedOn w:val="Normal"/>
    <w:next w:val="Normal"/>
    <w:pPr/>
    <w:rPr>
      <w:rFonts w:ascii="Century Gothic" w:cs="Century Gothic" w:eastAsia="Century Gothic" w:hAnsi="Century Gothic"/>
      <w:color w:val="f07f09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Century Gothic" w:cs="Century Gothic" w:eastAsia="Century Gothic" w:hAnsi="Century Gothic"/>
      <w:color w:val="b35f0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ind w:left="0"/>
    </w:pPr>
    <w:rPr>
      <w:rFonts w:ascii="Century Gothic" w:cs="Century Gothic" w:eastAsia="Century Gothic" w:hAnsi="Century Gothic"/>
      <w:color w:val="9f2936"/>
      <w:sz w:val="50"/>
      <w:szCs w:val="50"/>
    </w:rPr>
  </w:style>
  <w:style w:type="paragraph" w:styleId="Normal" w:default="1">
    <w:name w:val="Normal"/>
    <w:qFormat w:val="1"/>
    <w:pPr>
      <w:spacing w:after="40" w:before="120" w:line="240" w:lineRule="auto"/>
      <w:ind w:left="72"/>
    </w:pPr>
    <w:rPr>
      <w:sz w:val="21"/>
      <w:szCs w:val="21"/>
    </w:rPr>
  </w:style>
  <w:style w:type="paragraph" w:styleId="Heading1">
    <w:name w:val="heading 1"/>
    <w:basedOn w:val="Normal"/>
    <w:next w:val="Normal"/>
    <w:unhideWhenUsed w:val="1"/>
    <w:qFormat w:val="1"/>
    <w:pPr>
      <w:spacing w:after="0" w:before="240"/>
      <w:ind w:left="0"/>
      <w:outlineLvl w:val="0"/>
    </w:pPr>
    <w:rPr>
      <w:rFonts w:asciiTheme="majorHAnsi" w:cstheme="majorBidi" w:eastAsiaTheme="majorEastAsia" w:hAnsiTheme="majorHAnsi"/>
      <w:b w:val="1"/>
      <w:bCs w:val="1"/>
      <w:caps w:val="1"/>
      <w:color w:val="1b587c" w:themeColor="accent3"/>
      <w:sz w:val="26"/>
      <w:szCs w:val="26"/>
    </w:rPr>
  </w:style>
  <w:style w:type="paragraph" w:styleId="Heading2">
    <w:name w:val="heading 2"/>
    <w:basedOn w:val="Normal"/>
    <w:next w:val="Normal"/>
    <w:unhideWhenUsed w:val="1"/>
    <w:qFormat w:val="1"/>
    <w:pPr>
      <w:pBdr>
        <w:bottom w:color="1b587c" w:space="1" w:sz="12" w:themeColor="accent3" w:val="single"/>
      </w:pBdr>
      <w:spacing w:before="240"/>
      <w:ind w:left="0"/>
      <w:outlineLvl w:val="1"/>
    </w:pPr>
    <w:rPr>
      <w:rFonts w:asciiTheme="majorHAnsi" w:cstheme="majorBidi" w:eastAsiaTheme="majorEastAsia" w:hAnsiTheme="majorHAnsi"/>
      <w:b w:val="1"/>
      <w:bCs w:val="1"/>
      <w:color w:val="f07f09" w:themeColor="accent1"/>
    </w:rPr>
  </w:style>
  <w:style w:type="paragraph" w:styleId="Heading3">
    <w:name w:val="heading 3"/>
    <w:basedOn w:val="Normal"/>
    <w:next w:val="Normal"/>
    <w:unhideWhenUsed w:val="1"/>
    <w:qFormat w:val="1"/>
    <w:pPr>
      <w:outlineLvl w:val="2"/>
    </w:pPr>
    <w:rPr>
      <w:rFonts w:asciiTheme="majorHAnsi" w:cstheme="majorBidi" w:eastAsiaTheme="majorEastAsia" w:hAnsiTheme="majorHAnsi"/>
      <w:color w:val="f07f09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pPr>
      <w:keepNext w:val="1"/>
      <w:keepLines w:val="1"/>
      <w:spacing w:after="0" w:before="160"/>
      <w:outlineLvl w:val="3"/>
    </w:pPr>
    <w:rPr>
      <w:rFonts w:asciiTheme="majorHAnsi" w:cstheme="majorBidi" w:eastAsiaTheme="majorEastAsia" w:hAnsiTheme="majorHAnsi"/>
      <w:color w:val="b35e06" w:themeColor="accent1" w:themeShade="0000B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NoSpacing">
    <w:name w:val="No Spacing"/>
    <w:uiPriority w:val="1"/>
    <w:unhideWhenUsed w:val="1"/>
    <w:qFormat w:val="1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 w:val="1"/>
    <w:rPr>
      <w:color w:val="808080"/>
    </w:rPr>
  </w:style>
  <w:style w:type="paragraph" w:styleId="Footer">
    <w:name w:val="footer"/>
    <w:basedOn w:val="Normal"/>
    <w:link w:val="FooterChar"/>
    <w:uiPriority w:val="1"/>
    <w:unhideWhenUsed w:val="1"/>
    <w:pPr>
      <w:tabs>
        <w:tab w:val="center" w:pos="4680"/>
        <w:tab w:val="right" w:pos="9360"/>
      </w:tabs>
      <w:spacing w:after="0" w:before="0"/>
      <w:jc w:val="right"/>
    </w:pPr>
  </w:style>
  <w:style w:type="character" w:styleId="FooterChar" w:customStyle="1">
    <w:name w:val="Footer Char"/>
    <w:basedOn w:val="DefaultParagraphFont"/>
    <w:link w:val="Footer"/>
    <w:uiPriority w:val="1"/>
    <w:rPr>
      <w:sz w:val="21"/>
      <w:szCs w:val="21"/>
    </w:rPr>
  </w:style>
  <w:style w:type="paragraph" w:styleId="Title">
    <w:name w:val="Title"/>
    <w:basedOn w:val="Normal"/>
    <w:next w:val="Normal"/>
    <w:qFormat w:val="1"/>
    <w:pPr>
      <w:ind w:left="0"/>
    </w:pPr>
    <w:rPr>
      <w:rFonts w:asciiTheme="majorHAnsi" w:cstheme="majorBidi" w:eastAsiaTheme="majorEastAsia" w:hAnsiTheme="majorHAnsi"/>
      <w:color w:val="9f2936" w:themeColor="accent2"/>
      <w:sz w:val="50"/>
      <w:szCs w:val="50"/>
    </w:rPr>
  </w:style>
  <w:style w:type="paragraph" w:styleId="Subtitle">
    <w:name w:val="Subtitle"/>
    <w:basedOn w:val="Normal"/>
    <w:next w:val="Normal"/>
    <w:unhideWhenUsed w:val="1"/>
    <w:qFormat w:val="1"/>
    <w:pPr>
      <w:keepNext w:val="1"/>
      <w:keepLines w:val="1"/>
      <w:numPr>
        <w:ilvl w:val="1"/>
      </w:numPr>
      <w:pBdr>
        <w:top w:color="1b587c" w:space="1" w:sz="4" w:themeColor="accent3" w:val="single"/>
      </w:pBdr>
      <w:spacing w:after="160" w:before="360"/>
      <w:ind w:left="72"/>
    </w:pPr>
    <w:rPr>
      <w:rFonts w:asciiTheme="majorHAnsi" w:cstheme="majorBidi" w:eastAsiaTheme="majorEastAsia" w:hAnsiTheme="majorHAnsi"/>
      <w:color w:val="9f2936" w:themeColor="accent2"/>
      <w:spacing w:val="15"/>
    </w:rPr>
  </w:style>
  <w:style w:type="character" w:styleId="Heading4Char" w:customStyle="1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color w:val="b35e06" w:themeColor="accent1" w:themeShade="0000BF"/>
      <w:sz w:val="21"/>
      <w:szCs w:val="21"/>
    </w:rPr>
  </w:style>
  <w:style w:type="character" w:styleId="SubtleEmphasis">
    <w:name w:val="Subtle Emphasis"/>
    <w:basedOn w:val="DefaultParagraphFont"/>
    <w:unhideWhenUsed w:val="1"/>
    <w:qFormat w:val="1"/>
    <w:rPr>
      <w:i w:val="1"/>
      <w:iCs w:val="1"/>
      <w:color w:val="auto"/>
    </w:rPr>
  </w:style>
  <w:style w:type="paragraph" w:styleId="Header">
    <w:name w:val="header"/>
    <w:basedOn w:val="Normal"/>
    <w:link w:val="HeaderChar"/>
    <w:uiPriority w:val="99"/>
    <w:unhideWhenUsed w:val="1"/>
    <w:pPr>
      <w:tabs>
        <w:tab w:val="center" w:pos="4680"/>
        <w:tab w:val="right" w:pos="9360"/>
      </w:tabs>
      <w:spacing w:after="0" w:before="0"/>
    </w:pPr>
  </w:style>
  <w:style w:type="character" w:styleId="HeaderChar" w:customStyle="1">
    <w:name w:val="Header Char"/>
    <w:basedOn w:val="DefaultParagraphFont"/>
    <w:link w:val="Header"/>
    <w:uiPriority w:val="99"/>
    <w:rPr>
      <w:sz w:val="21"/>
      <w:szCs w:val="21"/>
    </w:rPr>
  </w:style>
  <w:style w:type="paragraph" w:styleId="ListParagraph">
    <w:name w:val="List Paragraph"/>
    <w:basedOn w:val="Normal"/>
    <w:uiPriority w:val="34"/>
    <w:unhideWhenUsed w:val="1"/>
    <w:qFormat w:val="1"/>
    <w:rsid w:val="0003415F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Bdr>
        <w:top w:color="1b587c" w:space="1" w:sz="4" w:val="single"/>
      </w:pBdr>
      <w:spacing w:after="160" w:before="360" w:lineRule="auto"/>
      <w:ind w:left="72"/>
    </w:pPr>
    <w:rPr>
      <w:rFonts w:ascii="Century Gothic" w:cs="Century Gothic" w:eastAsia="Century Gothic" w:hAnsi="Century Gothic"/>
      <w:color w:val="9f2936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Bdr>
        <w:top w:color="1b587c" w:space="1" w:sz="4" w:val="single"/>
      </w:pBdr>
      <w:spacing w:after="160" w:before="360" w:lineRule="auto"/>
      <w:ind w:left="72"/>
    </w:pPr>
    <w:rPr>
      <w:rFonts w:ascii="Century Gothic" w:cs="Century Gothic" w:eastAsia="Century Gothic" w:hAnsi="Century Gothic"/>
      <w:color w:val="9f2936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Bdr>
        <w:top w:color="1b587c" w:space="1" w:sz="4" w:val="single"/>
      </w:pBdr>
      <w:spacing w:after="160" w:before="360" w:lineRule="auto"/>
      <w:ind w:left="72"/>
    </w:pPr>
    <w:rPr>
      <w:rFonts w:ascii="Century Gothic" w:cs="Century Gothic" w:eastAsia="Century Gothic" w:hAnsi="Century Gothic"/>
      <w:color w:val="9f2936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theme/_rels/theme1.xml.rels><?xml version="1.0" encoding="UTF-8" standalone="yes"?><Relationships xmlns="http://schemas.openxmlformats.org/package/2006/relationships"><Relationship Id="rId1" Type="http://schemas.openxmlformats.org/officeDocument/2006/relationships/image" Target="../media/image1.jpg"/></Relationships>
</file>

<file path=word/theme/theme1.xml><?xml version="1.0" encoding="utf-8"?>
<a:theme xmlns:a="http://schemas.openxmlformats.org/drawingml/2006/main" name="Integral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Century Gothic-Palatino Linotype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Palatino Linotype" panose="0204050205050503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IntegralV7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42448713-48CF-40FF-A256-E269CDCF5842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wWPa0sMSx5oeGcFfxeBJAxUyetA==">AMUW2mVEm34jZEcqQHTYdV3kZaImqidKQclaKSqhF55IKnBN9Ul0RxR7xmlus+9qvPSIVD5WKUhB4UqR6FyRCbu5lvEiLdFb9+tRbLU0Uc8lRrK/xBrm5LNqom33OTcuzvCtbKFzbs+I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2019-09-15T02:26:00Z</dcterms:created>
  <dc:creator>Admin lab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TC034630809991</vt:lpwstr>
  </property>
</Properties>
</file>