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61B4DB"/>
          <w:sz w:val="64"/>
        </w:rPr>
        <w:t>KO-LAB</w:t>
      </w:r>
    </w:p>
    <w:p>
      <w:pPr>
        <w:jc w:val="center"/>
      </w:pPr>
      <w:r>
        <w:rPr>
          <w:rFonts w:ascii="Aptos Display" w:hAnsi="Aptos Display"/>
          <w:b/>
          <w:color w:val="1E1E1E"/>
          <w:sz w:val="48"/>
        </w:rPr>
        <w:t>STRUCTURE DU SITE WEB V2</w:t>
      </w:r>
    </w:p>
    <w:p>
      <w:pPr>
        <w:spacing w:after="440"/>
        <w:jc w:val="center"/>
      </w:pPr>
      <w:r>
        <w:rPr>
          <w:rFonts w:ascii="Aptos" w:hAnsi="Aptos"/>
          <w:color w:val="5A5A5A"/>
          <w:sz w:val="22"/>
        </w:rPr>
        <w:t>Document de cadrage pour la mise en place technique et la construction page par page</w:t>
      </w:r>
    </w:p>
    <w:tbl>
      <w:tblPr>
        <w:tblW w:type="auto" w:w="0"/>
        <w:jc w:val="center"/>
        <w:tblLayout w:type="autofit"/>
        <w:tblLook w:firstColumn="1" w:firstRow="1" w:lastColumn="0" w:lastRow="0" w:noHBand="0" w:noVBand="1" w:val="04A0"/>
      </w:tblPr>
      <w:tblGrid>
        <w:gridCol w:w="10166"/>
      </w:tblGrid>
      <w:tr>
        <w:tc>
          <w:tcPr>
            <w:tcW w:type="dxa" w:w="10166"/>
            <w:shd w:fill="EAF6FB"/>
            <w:tcBorders>
              <w:top w:val="single" w:sz="10" w:color="61B4DB"/>
              <w:left w:val="single" w:sz="10" w:color="61B4DB"/>
              <w:bottom w:val="single" w:sz="10" w:color="61B4DB"/>
              <w:right w:val="single" w:sz="10" w:color="61B4DB"/>
            </w:tcBorders>
          </w:tcPr>
          <w:p>
            <w:pPr>
              <w:spacing w:after="80"/>
            </w:pPr>
            <w:r>
              <w:rPr>
                <w:rFonts w:ascii="Aptos" w:hAnsi="Aptos"/>
                <w:b/>
                <w:color w:val="1E1E1E"/>
                <w:sz w:val="22"/>
              </w:rPr>
              <w:t>OBJECTIF IMMÉDIAT</w:t>
            </w:r>
          </w:p>
          <w:p>
            <w:pPr>
              <w:spacing w:after="0"/>
            </w:pPr>
            <w:r>
              <w:rPr>
                <w:rFonts w:ascii="Aptos" w:hAnsi="Aptos"/>
                <w:color w:val="1E1E1E"/>
                <w:sz w:val="20"/>
              </w:rPr>
              <w:t>Donner à Moussa une architecture claire afin qu’il prépare le chemin technique : environnement local, dépôt GitHub, préproduction, production, composants réutilisables et structure des contenus. Les textes finaux, les visuels et les essais de design seront ensuite ajoutés progressivement par Christian avec l’aide de ChatGPT.</w:t>
            </w:r>
          </w:p>
        </w:tc>
      </w:tr>
    </w:tbl>
    <w:p>
      <w:pPr>
        <w:spacing w:after="0"/>
      </w:pPr>
    </w:p>
    <w:p>
      <w:pPr>
        <w:spacing w:before="480"/>
        <w:jc w:val="center"/>
      </w:pPr>
      <w:r>
        <w:rPr>
          <w:rFonts w:ascii="Aptos" w:hAnsi="Aptos"/>
          <w:color w:val="5A5A5A"/>
          <w:sz w:val="19"/>
        </w:rPr>
        <w:t>Version 1.0  •  Juillet 2026</w:t>
      </w:r>
    </w:p>
    <w:p>
      <w:r>
        <w:br w:type="page"/>
      </w:r>
    </w:p>
    <w:p>
      <w:pPr>
        <w:pStyle w:val="Heading1"/>
      </w:pPr>
      <w:r>
        <w:rPr>
          <w:rFonts w:ascii="Aptos" w:hAnsi="Aptos"/>
          <w:b/>
          <w:color w:val="1E1E1E"/>
          <w:sz w:val="36"/>
        </w:rPr>
        <w:t>1. Vision et positionnement</w:t>
      </w:r>
    </w:p>
    <w:p>
      <w:pPr>
        <w:spacing w:after="200"/>
      </w:pPr>
      <w:r>
        <w:rPr>
          <w:rFonts w:ascii="Aptos" w:hAnsi="Aptos"/>
          <w:color w:val="5A5A5A"/>
          <w:sz w:val="21"/>
        </w:rPr>
        <w:t>Cette section résume ce que le site doit communiquer avant même de parler de design ou de technologie.</w:t>
      </w:r>
    </w:p>
    <w:tbl>
      <w:tblPr>
        <w:tblW w:type="auto" w:w="0"/>
        <w:jc w:val="center"/>
        <w:tblLayout w:type="autofit"/>
        <w:tblLook w:firstColumn="1" w:firstRow="1" w:lastColumn="0" w:lastRow="0" w:noHBand="0" w:noVBand="1" w:val="04A0"/>
      </w:tblPr>
      <w:tblGrid>
        <w:gridCol w:w="10166"/>
      </w:tblGrid>
      <w:tr>
        <w:tc>
          <w:tcPr>
            <w:tcW w:type="dxa" w:w="10166"/>
            <w:shd w:fill="EAF6FB"/>
            <w:tcBorders>
              <w:top w:val="single" w:sz="10" w:color="61B4DB"/>
              <w:left w:val="single" w:sz="10" w:color="61B4DB"/>
              <w:bottom w:val="single" w:sz="10" w:color="61B4DB"/>
              <w:right w:val="single" w:sz="10" w:color="61B4DB"/>
            </w:tcBorders>
          </w:tcPr>
          <w:p>
            <w:pPr>
              <w:spacing w:after="80"/>
            </w:pPr>
            <w:r>
              <w:rPr>
                <w:rFonts w:ascii="Aptos" w:hAnsi="Aptos"/>
                <w:b/>
                <w:color w:val="1E1E1E"/>
                <w:sz w:val="22"/>
              </w:rPr>
              <w:t>SIGNATURE DE MARQUE</w:t>
            </w:r>
          </w:p>
          <w:p>
            <w:pPr>
              <w:spacing w:after="0"/>
            </w:pPr>
            <w:r>
              <w:rPr>
                <w:rFonts w:ascii="Aptos" w:hAnsi="Aptos"/>
                <w:color w:val="1E1E1E"/>
                <w:sz w:val="20"/>
              </w:rPr>
              <w:t>De l’idée au terrain.</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6FB"/>
            <w:tcBorders>
              <w:top w:val="single" w:sz="10" w:color="61B4DB"/>
              <w:left w:val="single" w:sz="10" w:color="61B4DB"/>
              <w:bottom w:val="single" w:sz="10" w:color="61B4DB"/>
              <w:right w:val="single" w:sz="10" w:color="61B4DB"/>
            </w:tcBorders>
          </w:tcPr>
          <w:p>
            <w:pPr>
              <w:spacing w:after="80"/>
            </w:pPr>
            <w:r>
              <w:rPr>
                <w:rFonts w:ascii="Aptos" w:hAnsi="Aptos"/>
                <w:b/>
                <w:color w:val="1E1E1E"/>
                <w:sz w:val="22"/>
              </w:rPr>
              <w:t>QUESTION D’OUVERTURE</w:t>
            </w:r>
          </w:p>
          <w:p>
            <w:pPr>
              <w:spacing w:after="0"/>
            </w:pPr>
            <w:r>
              <w:rPr>
                <w:rFonts w:ascii="Aptos" w:hAnsi="Aptos"/>
                <w:color w:val="1E1E1E"/>
                <w:sz w:val="20"/>
              </w:rPr>
              <w:t>Qu’est-ce qu’on met sur le terrain aujourd’hui?</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6FB"/>
            <w:tcBorders>
              <w:top w:val="single" w:sz="10" w:color="61B4DB"/>
              <w:left w:val="single" w:sz="10" w:color="61B4DB"/>
              <w:bottom w:val="single" w:sz="10" w:color="61B4DB"/>
              <w:right w:val="single" w:sz="10" w:color="61B4DB"/>
            </w:tcBorders>
          </w:tcPr>
          <w:p>
            <w:pPr>
              <w:spacing w:after="80"/>
            </w:pPr>
            <w:r>
              <w:rPr>
                <w:rFonts w:ascii="Aptos" w:hAnsi="Aptos"/>
                <w:b/>
                <w:color w:val="1E1E1E"/>
                <w:sz w:val="22"/>
              </w:rPr>
              <w:t>MESSAGE CENTRAL</w:t>
            </w:r>
          </w:p>
          <w:p>
            <w:pPr>
              <w:spacing w:after="0"/>
            </w:pPr>
            <w:r>
              <w:rPr>
                <w:rFonts w:ascii="Aptos" w:hAnsi="Aptos"/>
                <w:color w:val="1E1E1E"/>
                <w:sz w:val="20"/>
              </w:rPr>
              <w:t>KO-LAB réunit les équipes, l’expertise, les équipements et les partenaires nécessaires pour transformer une idée en opération concrète.</w:t>
            </w:r>
          </w:p>
        </w:tc>
      </w:tr>
    </w:tbl>
    <w:p>
      <w:pPr>
        <w:spacing w:after="0"/>
      </w:pPr>
    </w:p>
    <w:p>
      <w:pPr>
        <w:pStyle w:val="Heading2"/>
      </w:pPr>
      <w:r>
        <w:rPr>
          <w:rFonts w:ascii="Aptos" w:hAnsi="Aptos"/>
          <w:b/>
          <w:color w:val="1E1E1E"/>
          <w:sz w:val="26"/>
        </w:rPr>
        <w:t>Positionnement recherché</w:t>
      </w:r>
    </w:p>
    <w:p>
      <w:pPr>
        <w:spacing w:after="120"/>
      </w:pPr>
      <w:r>
        <w:rPr>
          <w:rFonts w:ascii="Aptos" w:hAnsi="Aptos"/>
          <w:color w:val="1E1E1E"/>
          <w:sz w:val="20"/>
        </w:rPr>
        <w:t>KO-LAB ne doit pas être présenté uniquement comme une entreprise événementielle ou une agence de main-d’œuvre. Le site doit positionner l’entreprise comme un partenaire capable de planifier, fabriquer, installer, équiper et déployer des projets complexes.</w:t>
      </w:r>
    </w:p>
    <w:p>
      <w:pPr>
        <w:pStyle w:val="ListBullet"/>
        <w:spacing w:after="40"/>
      </w:pPr>
      <w:r>
        <w:rPr>
          <w:rFonts w:ascii="Aptos" w:hAnsi="Aptos"/>
          <w:color w:val="1E1E1E"/>
          <w:sz w:val="20"/>
        </w:rPr>
        <w:t>Opérations terrain et logistique</w:t>
      </w:r>
    </w:p>
    <w:p>
      <w:pPr>
        <w:pStyle w:val="ListBullet"/>
        <w:spacing w:after="40"/>
      </w:pPr>
      <w:r>
        <w:rPr>
          <w:rFonts w:ascii="Aptos" w:hAnsi="Aptos"/>
          <w:color w:val="1E1E1E"/>
          <w:sz w:val="20"/>
        </w:rPr>
        <w:t>Déploiement de main-d’œuvre et coordination multisite</w:t>
      </w:r>
    </w:p>
    <w:p>
      <w:pPr>
        <w:pStyle w:val="ListBullet"/>
        <w:spacing w:after="40"/>
      </w:pPr>
      <w:r>
        <w:rPr>
          <w:rFonts w:ascii="Aptos" w:hAnsi="Aptos"/>
          <w:color w:val="1E1E1E"/>
          <w:sz w:val="20"/>
        </w:rPr>
        <w:t>Installations saisonnières, commerciales et spécialisées</w:t>
      </w:r>
    </w:p>
    <w:p>
      <w:pPr>
        <w:pStyle w:val="ListBullet"/>
        <w:spacing w:after="40"/>
      </w:pPr>
      <w:r>
        <w:rPr>
          <w:rFonts w:ascii="Aptos" w:hAnsi="Aptos"/>
          <w:color w:val="1E1E1E"/>
          <w:sz w:val="20"/>
        </w:rPr>
        <w:t>Conception, prototypage, développement de produits et fabrication</w:t>
      </w:r>
    </w:p>
    <w:p>
      <w:pPr>
        <w:pStyle w:val="ListBullet"/>
        <w:spacing w:after="40"/>
      </w:pPr>
      <w:r>
        <w:rPr>
          <w:rFonts w:ascii="Aptos" w:hAnsi="Aptos"/>
          <w:color w:val="1E1E1E"/>
          <w:sz w:val="20"/>
        </w:rPr>
        <w:t>Équipements, transport, remorques, nacelles, outils et machinerie</w:t>
      </w:r>
    </w:p>
    <w:p>
      <w:pPr>
        <w:pStyle w:val="ListBullet"/>
        <w:spacing w:after="40"/>
      </w:pPr>
      <w:r>
        <w:rPr>
          <w:rFonts w:ascii="Aptos" w:hAnsi="Aptos"/>
          <w:color w:val="1E1E1E"/>
          <w:sz w:val="20"/>
        </w:rPr>
        <w:t>Location, boutique technologique et réseau de partenaires</w:t>
      </w:r>
    </w:p>
    <w:p>
      <w:pPr>
        <w:pStyle w:val="Heading2"/>
      </w:pPr>
      <w:r>
        <w:rPr>
          <w:rFonts w:ascii="Aptos" w:hAnsi="Aptos"/>
          <w:b/>
          <w:color w:val="1E1E1E"/>
          <w:sz w:val="26"/>
        </w:rPr>
        <w:t>Preuve de capacité à mettre de l’avant</w:t>
      </w:r>
    </w:p>
    <w:tbl>
      <w:tblPr>
        <w:tblW w:type="auto" w:w="0"/>
        <w:jc w:val="center"/>
        <w:tblLayout w:type="autofit"/>
        <w:tblLook w:firstColumn="1" w:firstRow="1" w:lastColumn="0" w:lastRow="0" w:noHBand="0" w:noVBand="1" w:val="04A0"/>
      </w:tblPr>
      <w:tblGrid>
        <w:gridCol w:w="10166"/>
      </w:tblGrid>
      <w:tr>
        <w:tc>
          <w:tcPr>
            <w:tcW w:type="dxa" w:w="10166"/>
            <w:shd w:fill="EAF6FB"/>
            <w:tcBorders>
              <w:top w:val="single" w:sz="10" w:color="61B4DB"/>
              <w:left w:val="single" w:sz="10" w:color="61B4DB"/>
              <w:bottom w:val="single" w:sz="10" w:color="61B4DB"/>
              <w:right w:val="single" w:sz="10" w:color="61B4DB"/>
            </w:tcBorders>
          </w:tcPr>
          <w:p>
            <w:pPr>
              <w:spacing w:after="80"/>
            </w:pPr>
            <w:r>
              <w:rPr>
                <w:rFonts w:ascii="Aptos" w:hAnsi="Aptos"/>
                <w:b/>
                <w:color w:val="1E1E1E"/>
                <w:sz w:val="22"/>
              </w:rPr>
              <w:t>PHRASE FORTE</w:t>
            </w:r>
          </w:p>
          <w:p>
            <w:pPr>
              <w:spacing w:after="0"/>
            </w:pPr>
            <w:r>
              <w:rPr>
                <w:rFonts w:ascii="Aptos" w:hAnsi="Aptos"/>
                <w:color w:val="1E1E1E"/>
                <w:sz w:val="20"/>
              </w:rPr>
              <w:t>Du gouvernement du Canada aux plus grands festivals de la région, nos équipes sont sur le terrain.</w:t>
            </w:r>
          </w:p>
        </w:tc>
      </w:tr>
    </w:tbl>
    <w:p>
      <w:pPr>
        <w:spacing w:after="0"/>
      </w:pPr>
    </w:p>
    <w:p>
      <w:pPr>
        <w:pStyle w:val="ListBullet"/>
        <w:spacing w:after="40"/>
      </w:pPr>
      <w:r>
        <w:rPr>
          <w:rFonts w:ascii="Aptos" w:hAnsi="Aptos"/>
          <w:color w:val="1E1E1E"/>
          <w:sz w:val="20"/>
        </w:rPr>
        <w:t>Plus de 20 000 heures de travail terrain réalisées par les équipes</w:t>
      </w:r>
    </w:p>
    <w:p>
      <w:pPr>
        <w:pStyle w:val="ListBullet"/>
        <w:spacing w:after="40"/>
      </w:pPr>
      <w:r>
        <w:rPr>
          <w:rFonts w:ascii="Aptos" w:hAnsi="Aptos"/>
          <w:color w:val="1E1E1E"/>
          <w:sz w:val="20"/>
        </w:rPr>
        <w:t>Plusieurs sites, zones et horaires coordonnés simultanément</w:t>
      </w:r>
    </w:p>
    <w:p>
      <w:pPr>
        <w:pStyle w:val="ListBullet"/>
        <w:spacing w:after="40"/>
      </w:pPr>
      <w:r>
        <w:rPr>
          <w:rFonts w:ascii="Aptos" w:hAnsi="Aptos"/>
          <w:color w:val="1E1E1E"/>
          <w:sz w:val="20"/>
        </w:rPr>
        <w:t>Mandats gouvernementaux, festivals majeurs, projets commerciaux et opérations spéciales</w:t>
      </w:r>
    </w:p>
    <w:p>
      <w:pPr>
        <w:pStyle w:val="ListBullet"/>
        <w:spacing w:after="40"/>
      </w:pPr>
      <w:r>
        <w:rPr>
          <w:rFonts w:ascii="Aptos" w:hAnsi="Aptos"/>
          <w:color w:val="1E1E1E"/>
          <w:sz w:val="20"/>
        </w:rPr>
        <w:t>Capacité complète : main-d’œuvre, coordination, transport, montage, démontage, logistique et soutien opérationnel</w:t>
      </w:r>
    </w:p>
    <w:p>
      <w:r>
        <w:br w:type="page"/>
      </w:r>
    </w:p>
    <w:p>
      <w:pPr>
        <w:pStyle w:val="Heading1"/>
      </w:pPr>
      <w:r>
        <w:rPr>
          <w:rFonts w:ascii="Aptos" w:hAnsi="Aptos"/>
          <w:b/>
          <w:color w:val="1E1E1E"/>
          <w:sz w:val="36"/>
        </w:rPr>
        <w:t>2. Mandat technique actuel pour Moussa</w:t>
      </w:r>
    </w:p>
    <w:p>
      <w:pPr>
        <w:spacing w:after="200"/>
      </w:pPr>
      <w:r>
        <w:rPr>
          <w:rFonts w:ascii="Aptos" w:hAnsi="Aptos"/>
          <w:color w:val="5A5A5A"/>
          <w:sz w:val="21"/>
        </w:rPr>
        <w:t>À cette étape, l’objectif n’est pas de finaliser toutes les pages. Il faut surtout créer une fondation propre, stable et facile à modifier par prompts.</w:t>
      </w:r>
    </w:p>
    <w:p>
      <w:pPr>
        <w:pStyle w:val="ListNumber"/>
        <w:spacing w:after="40"/>
      </w:pPr>
      <w:r>
        <w:rPr>
          <w:rFonts w:ascii="Aptos" w:hAnsi="Aptos"/>
          <w:color w:val="1E1E1E"/>
          <w:sz w:val="20"/>
        </w:rPr>
        <w:t>Préparer l’environnement local de développement sur l’ordinateur de Christian.</w:t>
      </w:r>
    </w:p>
    <w:p>
      <w:pPr>
        <w:pStyle w:val="ListNumber"/>
        <w:spacing w:after="40"/>
      </w:pPr>
      <w:r>
        <w:rPr>
          <w:rFonts w:ascii="Aptos" w:hAnsi="Aptos"/>
          <w:color w:val="1E1E1E"/>
          <w:sz w:val="20"/>
        </w:rPr>
        <w:t>Créer un dépôt GitHub appartenant à KO-LAB et y déposer la nouvelle base du site.</w:t>
      </w:r>
    </w:p>
    <w:p>
      <w:pPr>
        <w:pStyle w:val="ListNumber"/>
        <w:spacing w:after="40"/>
      </w:pPr>
      <w:r>
        <w:rPr>
          <w:rFonts w:ascii="Aptos" w:hAnsi="Aptos"/>
          <w:color w:val="1E1E1E"/>
          <w:sz w:val="20"/>
        </w:rPr>
        <w:t>Mettre en place une branche de préproduction et une branche de production.</w:t>
      </w:r>
    </w:p>
    <w:p>
      <w:pPr>
        <w:pStyle w:val="ListNumber"/>
        <w:spacing w:after="40"/>
      </w:pPr>
      <w:r>
        <w:rPr>
          <w:rFonts w:ascii="Aptos" w:hAnsi="Aptos"/>
          <w:color w:val="1E1E1E"/>
          <w:sz w:val="20"/>
        </w:rPr>
        <w:t>Configurer une prévisualisation simple avant toute publication sur ko-lab.ca.</w:t>
      </w:r>
    </w:p>
    <w:p>
      <w:pPr>
        <w:pStyle w:val="ListNumber"/>
        <w:spacing w:after="40"/>
      </w:pPr>
      <w:r>
        <w:rPr>
          <w:rFonts w:ascii="Aptos" w:hAnsi="Aptos"/>
          <w:color w:val="1E1E1E"/>
          <w:sz w:val="20"/>
        </w:rPr>
        <w:t>Créer une architecture de composants réutilisables : en-têtes, cartes, boutons, galeries, appels à l’action, sections de statistiques et formulaires.</w:t>
      </w:r>
    </w:p>
    <w:p>
      <w:pPr>
        <w:pStyle w:val="ListNumber"/>
        <w:spacing w:after="40"/>
      </w:pPr>
      <w:r>
        <w:rPr>
          <w:rFonts w:ascii="Aptos" w:hAnsi="Aptos"/>
          <w:color w:val="1E1E1E"/>
          <w:sz w:val="20"/>
        </w:rPr>
        <w:t>Prévoir une structure bilingue français/anglais, même si la version française est créée en premier.</w:t>
      </w:r>
    </w:p>
    <w:p>
      <w:pPr>
        <w:pStyle w:val="ListNumber"/>
        <w:spacing w:after="40"/>
      </w:pPr>
      <w:r>
        <w:rPr>
          <w:rFonts w:ascii="Aptos" w:hAnsi="Aptos"/>
          <w:color w:val="1E1E1E"/>
          <w:sz w:val="20"/>
        </w:rPr>
        <w:t>Prévoir des données faciles à modifier pour les réalisations, les produits de boutique et les éléments de location.</w:t>
      </w:r>
    </w:p>
    <w:p>
      <w:pPr>
        <w:pStyle w:val="ListNumber"/>
        <w:spacing w:after="40"/>
      </w:pPr>
      <w:r>
        <w:rPr>
          <w:rFonts w:ascii="Aptos" w:hAnsi="Aptos"/>
          <w:color w:val="1E1E1E"/>
          <w:sz w:val="20"/>
        </w:rPr>
        <w:t>Conserver de bonnes pratiques de performance, SEO, accessibilité et affichage mobile.</w:t>
      </w:r>
    </w:p>
    <w:p>
      <w:pPr>
        <w:pStyle w:val="ListNumber"/>
        <w:spacing w:after="40"/>
      </w:pPr>
      <w:r>
        <w:rPr>
          <w:rFonts w:ascii="Aptos" w:hAnsi="Aptos"/>
          <w:color w:val="1E1E1E"/>
          <w:sz w:val="20"/>
        </w:rPr>
        <w:t>Documenter clairement la procédure : modifier, tester, prévisualiser, approuver et publier.</w:t>
      </w:r>
    </w:p>
    <w:tbl>
      <w:tblPr>
        <w:tblW w:type="auto" w:w="0"/>
        <w:jc w:val="center"/>
        <w:tblLayout w:type="autofit"/>
        <w:tblLook w:firstColumn="1" w:firstRow="1" w:lastColumn="0" w:lastRow="0" w:noHBand="0" w:noVBand="1" w:val="04A0"/>
      </w:tblPr>
      <w:tblGrid>
        <w:gridCol w:w="10166"/>
      </w:tblGrid>
      <w:tr>
        <w:tc>
          <w:tcPr>
            <w:tcW w:type="dxa" w:w="10166"/>
            <w:shd w:fill="EAF6FB"/>
            <w:tcBorders>
              <w:top w:val="single" w:sz="10" w:color="61B4DB"/>
              <w:left w:val="single" w:sz="10" w:color="61B4DB"/>
              <w:bottom w:val="single" w:sz="10" w:color="61B4DB"/>
              <w:right w:val="single" w:sz="10" w:color="61B4DB"/>
            </w:tcBorders>
          </w:tcPr>
          <w:p>
            <w:pPr>
              <w:spacing w:after="80"/>
            </w:pPr>
            <w:r>
              <w:rPr>
                <w:rFonts w:ascii="Aptos" w:hAnsi="Aptos"/>
                <w:b/>
                <w:color w:val="1E1E1E"/>
                <w:sz w:val="22"/>
              </w:rPr>
              <w:t>IMPORTANT</w:t>
            </w:r>
          </w:p>
          <w:p>
            <w:pPr>
              <w:spacing w:after="0"/>
            </w:pPr>
            <w:r>
              <w:rPr>
                <w:rFonts w:ascii="Aptos" w:hAnsi="Aptos"/>
                <w:color w:val="1E1E1E"/>
                <w:sz w:val="20"/>
              </w:rPr>
              <w:t>Tous les comptes principaux, dépôts, domaines, accès et clés doivent appartenir à KO-LAB. Moussa agit comme collaborateur et administrateur technique, sans créer une dépendance à ses comptes personnels.</w:t>
            </w:r>
          </w:p>
        </w:tc>
      </w:tr>
    </w:tbl>
    <w:p>
      <w:pPr>
        <w:spacing w:after="0"/>
      </w:pPr>
    </w:p>
    <w:p>
      <w:pPr>
        <w:pStyle w:val="Heading2"/>
      </w:pPr>
      <w:r>
        <w:rPr>
          <w:rFonts w:ascii="Aptos" w:hAnsi="Aptos"/>
          <w:b/>
          <w:color w:val="1E1E1E"/>
          <w:sz w:val="26"/>
        </w:rPr>
        <w:t>Approche de construction</w:t>
      </w:r>
    </w:p>
    <w:p>
      <w:pPr>
        <w:spacing w:after="120"/>
      </w:pPr>
      <w:r>
        <w:rPr>
          <w:rFonts w:ascii="Aptos" w:hAnsi="Aptos"/>
          <w:color w:val="1E1E1E"/>
          <w:sz w:val="20"/>
        </w:rPr>
        <w:t>Le site sera construit page par page. Christian travaillera avec ChatGPT pour préparer les prompts précis, tester plusieurs variantes et approuver les sections. Moussa doit donc rendre le projet simple à reprendre avec Claude Code, Codex ou un autre agent de code.</w:t>
      </w:r>
    </w:p>
    <w:p>
      <w:r>
        <w:br w:type="page"/>
      </w:r>
    </w:p>
    <w:p>
      <w:pPr>
        <w:pStyle w:val="Heading1"/>
      </w:pPr>
      <w:r>
        <w:rPr>
          <w:rFonts w:ascii="Aptos" w:hAnsi="Aptos"/>
          <w:b/>
          <w:color w:val="1E1E1E"/>
          <w:sz w:val="36"/>
        </w:rPr>
        <w:t>3. Navigation principale</w:t>
      </w:r>
    </w:p>
    <w:p>
      <w:pPr>
        <w:spacing w:after="200"/>
      </w:pPr>
      <w:r>
        <w:rPr>
          <w:rFonts w:ascii="Aptos" w:hAnsi="Aptos"/>
          <w:color w:val="5A5A5A"/>
          <w:sz w:val="21"/>
        </w:rPr>
        <w:t>La navigation doit rester courte. Les capacités détaillées sont regroupées sous un seul menu.</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96"/>
            <w:shd w:fill="1E1E1E"/>
            <w:vAlign w:val="center"/>
          </w:tcPr>
          <w:p>
            <w:pPr>
              <w:jc w:val="left"/>
            </w:pPr>
            <w:r>
              <w:rPr>
                <w:rFonts w:ascii="Aptos" w:hAnsi="Aptos"/>
                <w:b/>
                <w:color w:val="FFFFFF"/>
                <w:sz w:val="19"/>
              </w:rPr>
              <w:t>Page / menu</w:t>
            </w:r>
          </w:p>
        </w:tc>
        <w:tc>
          <w:tcPr>
            <w:tcW w:type="dxa" w:w="6552"/>
            <w:shd w:fill="1E1E1E"/>
            <w:vAlign w:val="center"/>
          </w:tcPr>
          <w:p>
            <w:pPr>
              <w:jc w:val="left"/>
            </w:pPr>
            <w:r>
              <w:rPr>
                <w:rFonts w:ascii="Aptos" w:hAnsi="Aptos"/>
                <w:b/>
                <w:color w:val="FFFFFF"/>
                <w:sz w:val="19"/>
              </w:rPr>
              <w:t>Rôle principal</w:t>
            </w:r>
          </w:p>
        </w:tc>
      </w:tr>
      <w:tr>
        <w:tc>
          <w:tcPr>
            <w:tcW w:type="dxa" w:w="3096"/>
            <w:vAlign w:val="top"/>
          </w:tcPr>
          <w:p>
            <w:pPr>
              <w:spacing w:after="0"/>
            </w:pPr>
            <w:r>
              <w:rPr>
                <w:rFonts w:ascii="Aptos" w:hAnsi="Aptos"/>
                <w:color w:val="1E1E1E"/>
                <w:sz w:val="18"/>
              </w:rPr>
              <w:t>Accueil</w:t>
            </w:r>
          </w:p>
        </w:tc>
        <w:tc>
          <w:tcPr>
            <w:tcW w:type="dxa" w:w="6552"/>
            <w:vAlign w:val="top"/>
          </w:tcPr>
          <w:p>
            <w:pPr>
              <w:spacing w:after="0"/>
            </w:pPr>
            <w:r>
              <w:rPr>
                <w:rFonts w:ascii="Aptos" w:hAnsi="Aptos"/>
                <w:color w:val="1E1E1E"/>
                <w:sz w:val="18"/>
              </w:rPr>
              <w:t>Vision globale, crédibilité, aperçu des capacités et accès rapides.</w:t>
            </w:r>
          </w:p>
        </w:tc>
      </w:tr>
      <w:tr>
        <w:tc>
          <w:tcPr>
            <w:tcW w:type="dxa" w:w="3096"/>
            <w:shd w:fill="F5F5F5"/>
            <w:vAlign w:val="top"/>
          </w:tcPr>
          <w:p>
            <w:pPr>
              <w:spacing w:after="0"/>
            </w:pPr>
            <w:r>
              <w:rPr>
                <w:rFonts w:ascii="Aptos" w:hAnsi="Aptos"/>
                <w:color w:val="1E1E1E"/>
                <w:sz w:val="18"/>
              </w:rPr>
              <w:t>Nos capacités</w:t>
            </w:r>
          </w:p>
        </w:tc>
        <w:tc>
          <w:tcPr>
            <w:tcW w:type="dxa" w:w="6552"/>
            <w:shd w:fill="F5F5F5"/>
            <w:vAlign w:val="top"/>
          </w:tcPr>
          <w:p>
            <w:pPr>
              <w:spacing w:after="0"/>
            </w:pPr>
            <w:r>
              <w:rPr>
                <w:rFonts w:ascii="Aptos" w:hAnsi="Aptos"/>
                <w:color w:val="1E1E1E"/>
                <w:sz w:val="18"/>
              </w:rPr>
              <w:t>Menu déroulant regroupant les quatre grandes pages opérationnelles.</w:t>
            </w:r>
          </w:p>
        </w:tc>
      </w:tr>
      <w:tr>
        <w:tc>
          <w:tcPr>
            <w:tcW w:type="dxa" w:w="3096"/>
            <w:vAlign w:val="top"/>
          </w:tcPr>
          <w:p>
            <w:pPr>
              <w:spacing w:after="0"/>
            </w:pPr>
            <w:r>
              <w:rPr>
                <w:rFonts w:ascii="Aptos" w:hAnsi="Aptos"/>
                <w:color w:val="1E1E1E"/>
                <w:sz w:val="18"/>
              </w:rPr>
              <w:t>— Opérations terrain</w:t>
            </w:r>
          </w:p>
        </w:tc>
        <w:tc>
          <w:tcPr>
            <w:tcW w:type="dxa" w:w="6552"/>
            <w:vAlign w:val="top"/>
          </w:tcPr>
          <w:p>
            <w:pPr>
              <w:spacing w:after="0"/>
            </w:pPr>
            <w:r>
              <w:rPr>
                <w:rFonts w:ascii="Aptos" w:hAnsi="Aptos"/>
                <w:color w:val="1E1E1E"/>
                <w:sz w:val="18"/>
              </w:rPr>
              <w:t>Main-d’œuvre, coordination, logistique, transport, montage et opérations multisites.</w:t>
            </w:r>
          </w:p>
        </w:tc>
      </w:tr>
      <w:tr>
        <w:tc>
          <w:tcPr>
            <w:tcW w:type="dxa" w:w="3096"/>
            <w:shd w:fill="F5F5F5"/>
            <w:vAlign w:val="top"/>
          </w:tcPr>
          <w:p>
            <w:pPr>
              <w:spacing w:after="0"/>
            </w:pPr>
            <w:r>
              <w:rPr>
                <w:rFonts w:ascii="Aptos" w:hAnsi="Aptos"/>
                <w:color w:val="1E1E1E"/>
                <w:sz w:val="18"/>
              </w:rPr>
              <w:t>— Installations saisonnières et commerciales</w:t>
            </w:r>
          </w:p>
        </w:tc>
        <w:tc>
          <w:tcPr>
            <w:tcW w:type="dxa" w:w="6552"/>
            <w:shd w:fill="F5F5F5"/>
            <w:vAlign w:val="top"/>
          </w:tcPr>
          <w:p>
            <w:pPr>
              <w:spacing w:after="0"/>
            </w:pPr>
            <w:r>
              <w:rPr>
                <w:rFonts w:ascii="Aptos" w:hAnsi="Aptos"/>
                <w:color w:val="1E1E1E"/>
                <w:sz w:val="18"/>
              </w:rPr>
              <w:t>Noël, hiver, commerces, tours à bureaux, espaces publics, signalisation et retrait.</w:t>
            </w:r>
          </w:p>
        </w:tc>
      </w:tr>
      <w:tr>
        <w:tc>
          <w:tcPr>
            <w:tcW w:type="dxa" w:w="3096"/>
            <w:vAlign w:val="top"/>
          </w:tcPr>
          <w:p>
            <w:pPr>
              <w:spacing w:after="0"/>
            </w:pPr>
            <w:r>
              <w:rPr>
                <w:rFonts w:ascii="Aptos" w:hAnsi="Aptos"/>
                <w:color w:val="1E1E1E"/>
                <w:sz w:val="18"/>
              </w:rPr>
              <w:t>— Le LAB</w:t>
            </w:r>
          </w:p>
        </w:tc>
        <w:tc>
          <w:tcPr>
            <w:tcW w:type="dxa" w:w="6552"/>
            <w:vAlign w:val="top"/>
          </w:tcPr>
          <w:p>
            <w:pPr>
              <w:spacing w:after="0"/>
            </w:pPr>
            <w:r>
              <w:rPr>
                <w:rFonts w:ascii="Aptos" w:hAnsi="Aptos"/>
                <w:color w:val="1E1E1E"/>
                <w:sz w:val="18"/>
              </w:rPr>
              <w:t>Développement de produits, prototypage, impression 3D, laser, CNC, reproduction de pièces et production.</w:t>
            </w:r>
          </w:p>
        </w:tc>
      </w:tr>
      <w:tr>
        <w:tc>
          <w:tcPr>
            <w:tcW w:type="dxa" w:w="3096"/>
            <w:shd w:fill="F5F5F5"/>
            <w:vAlign w:val="top"/>
          </w:tcPr>
          <w:p>
            <w:pPr>
              <w:spacing w:after="0"/>
            </w:pPr>
            <w:r>
              <w:rPr>
                <w:rFonts w:ascii="Aptos" w:hAnsi="Aptos"/>
                <w:color w:val="1E1E1E"/>
                <w:sz w:val="18"/>
              </w:rPr>
              <w:t>— Équipements et déploiement</w:t>
            </w:r>
          </w:p>
        </w:tc>
        <w:tc>
          <w:tcPr>
            <w:tcW w:type="dxa" w:w="6552"/>
            <w:shd w:fill="F5F5F5"/>
            <w:vAlign w:val="top"/>
          </w:tcPr>
          <w:p>
            <w:pPr>
              <w:spacing w:after="0"/>
            </w:pPr>
            <w:r>
              <w:rPr>
                <w:rFonts w:ascii="Aptos" w:hAnsi="Aptos"/>
                <w:color w:val="1E1E1E"/>
                <w:sz w:val="18"/>
              </w:rPr>
              <w:t>Camions, remorques, nacelles, outils, manutention, transport et partenaires.</w:t>
            </w:r>
          </w:p>
        </w:tc>
      </w:tr>
      <w:tr>
        <w:tc>
          <w:tcPr>
            <w:tcW w:type="dxa" w:w="3096"/>
            <w:vAlign w:val="top"/>
          </w:tcPr>
          <w:p>
            <w:pPr>
              <w:spacing w:after="0"/>
            </w:pPr>
            <w:r>
              <w:rPr>
                <w:rFonts w:ascii="Aptos" w:hAnsi="Aptos"/>
                <w:color w:val="1E1E1E"/>
                <w:sz w:val="18"/>
              </w:rPr>
              <w:t>Réalisations</w:t>
            </w:r>
          </w:p>
        </w:tc>
        <w:tc>
          <w:tcPr>
            <w:tcW w:type="dxa" w:w="6552"/>
            <w:vAlign w:val="top"/>
          </w:tcPr>
          <w:p>
            <w:pPr>
              <w:spacing w:after="0"/>
            </w:pPr>
            <w:r>
              <w:rPr>
                <w:rFonts w:ascii="Aptos" w:hAnsi="Aptos"/>
                <w:color w:val="1E1E1E"/>
                <w:sz w:val="18"/>
              </w:rPr>
              <w:t>Galerie filtrable et futures études de cas.</w:t>
            </w:r>
          </w:p>
        </w:tc>
      </w:tr>
      <w:tr>
        <w:tc>
          <w:tcPr>
            <w:tcW w:type="dxa" w:w="3096"/>
            <w:shd w:fill="F5F5F5"/>
            <w:vAlign w:val="top"/>
          </w:tcPr>
          <w:p>
            <w:pPr>
              <w:spacing w:after="0"/>
            </w:pPr>
            <w:r>
              <w:rPr>
                <w:rFonts w:ascii="Aptos" w:hAnsi="Aptos"/>
                <w:color w:val="1E1E1E"/>
                <w:sz w:val="18"/>
              </w:rPr>
              <w:t>Location</w:t>
            </w:r>
          </w:p>
        </w:tc>
        <w:tc>
          <w:tcPr>
            <w:tcW w:type="dxa" w:w="6552"/>
            <w:shd w:fill="F5F5F5"/>
            <w:vAlign w:val="top"/>
          </w:tcPr>
          <w:p>
            <w:pPr>
              <w:spacing w:after="0"/>
            </w:pPr>
            <w:r>
              <w:rPr>
                <w:rFonts w:ascii="Aptos" w:hAnsi="Aptos"/>
                <w:color w:val="1E1E1E"/>
                <w:sz w:val="18"/>
              </w:rPr>
              <w:t>Page de transition élégante avec lien vers Rentman.</w:t>
            </w:r>
          </w:p>
        </w:tc>
      </w:tr>
      <w:tr>
        <w:tc>
          <w:tcPr>
            <w:tcW w:type="dxa" w:w="3096"/>
            <w:vAlign w:val="top"/>
          </w:tcPr>
          <w:p>
            <w:pPr>
              <w:spacing w:after="0"/>
            </w:pPr>
            <w:r>
              <w:rPr>
                <w:rFonts w:ascii="Aptos" w:hAnsi="Aptos"/>
                <w:color w:val="1E1E1E"/>
                <w:sz w:val="18"/>
              </w:rPr>
              <w:t>Boutique</w:t>
            </w:r>
          </w:p>
        </w:tc>
        <w:tc>
          <w:tcPr>
            <w:tcW w:type="dxa" w:w="6552"/>
            <w:vAlign w:val="top"/>
          </w:tcPr>
          <w:p>
            <w:pPr>
              <w:spacing w:after="0"/>
            </w:pPr>
            <w:r>
              <w:rPr>
                <w:rFonts w:ascii="Aptos" w:hAnsi="Aptos"/>
                <w:color w:val="1E1E1E"/>
                <w:sz w:val="18"/>
              </w:rPr>
              <w:t>Catalogue multimarques et commandes accompagnées.</w:t>
            </w:r>
          </w:p>
        </w:tc>
      </w:tr>
      <w:tr>
        <w:tc>
          <w:tcPr>
            <w:tcW w:type="dxa" w:w="3096"/>
            <w:shd w:fill="F5F5F5"/>
            <w:vAlign w:val="top"/>
          </w:tcPr>
          <w:p>
            <w:pPr>
              <w:spacing w:after="0"/>
            </w:pPr>
            <w:r>
              <w:rPr>
                <w:rFonts w:ascii="Aptos" w:hAnsi="Aptos"/>
                <w:color w:val="1E1E1E"/>
                <w:sz w:val="18"/>
              </w:rPr>
              <w:t>À propos</w:t>
            </w:r>
          </w:p>
        </w:tc>
        <w:tc>
          <w:tcPr>
            <w:tcW w:type="dxa" w:w="6552"/>
            <w:shd w:fill="F5F5F5"/>
            <w:vAlign w:val="top"/>
          </w:tcPr>
          <w:p>
            <w:pPr>
              <w:spacing w:after="0"/>
            </w:pPr>
            <w:r>
              <w:rPr>
                <w:rFonts w:ascii="Aptos" w:hAnsi="Aptos"/>
                <w:color w:val="1E1E1E"/>
                <w:sz w:val="18"/>
              </w:rPr>
              <w:t>Vision, culture terrain, manière de travailler et écosystème.</w:t>
            </w:r>
          </w:p>
        </w:tc>
      </w:tr>
      <w:tr>
        <w:tc>
          <w:tcPr>
            <w:tcW w:type="dxa" w:w="3096"/>
            <w:vAlign w:val="top"/>
          </w:tcPr>
          <w:p>
            <w:pPr>
              <w:spacing w:after="0"/>
            </w:pPr>
            <w:r>
              <w:rPr>
                <w:rFonts w:ascii="Aptos" w:hAnsi="Aptos"/>
                <w:color w:val="1E1E1E"/>
                <w:sz w:val="18"/>
              </w:rPr>
              <w:t>Carrières</w:t>
            </w:r>
          </w:p>
        </w:tc>
        <w:tc>
          <w:tcPr>
            <w:tcW w:type="dxa" w:w="6552"/>
            <w:vAlign w:val="top"/>
          </w:tcPr>
          <w:p>
            <w:pPr>
              <w:spacing w:after="0"/>
            </w:pPr>
            <w:r>
              <w:rPr>
                <w:rFonts w:ascii="Aptos" w:hAnsi="Aptos"/>
                <w:color w:val="1E1E1E"/>
                <w:sz w:val="18"/>
              </w:rPr>
              <w:t>Postes, recrutement et formulaire de candidature.</w:t>
            </w:r>
          </w:p>
        </w:tc>
      </w:tr>
      <w:tr>
        <w:tc>
          <w:tcPr>
            <w:tcW w:type="dxa" w:w="3096"/>
            <w:shd w:fill="F5F5F5"/>
            <w:vAlign w:val="top"/>
          </w:tcPr>
          <w:p>
            <w:pPr>
              <w:spacing w:after="0"/>
            </w:pPr>
            <w:r>
              <w:rPr>
                <w:rFonts w:ascii="Aptos" w:hAnsi="Aptos"/>
                <w:color w:val="1E1E1E"/>
                <w:sz w:val="18"/>
              </w:rPr>
              <w:t>Contact</w:t>
            </w:r>
          </w:p>
        </w:tc>
        <w:tc>
          <w:tcPr>
            <w:tcW w:type="dxa" w:w="6552"/>
            <w:shd w:fill="F5F5F5"/>
            <w:vAlign w:val="top"/>
          </w:tcPr>
          <w:p>
            <w:pPr>
              <w:spacing w:after="0"/>
            </w:pPr>
            <w:r>
              <w:rPr>
                <w:rFonts w:ascii="Aptos" w:hAnsi="Aptos"/>
                <w:color w:val="1E1E1E"/>
                <w:sz w:val="18"/>
              </w:rPr>
              <w:t>Formulaire général et démarrage de projet.</w:t>
            </w:r>
          </w:p>
        </w:tc>
      </w:tr>
    </w:tbl>
    <w:p>
      <w:pPr>
        <w:spacing w:after="0"/>
      </w:pPr>
    </w:p>
    <w:p>
      <w:pPr>
        <w:pStyle w:val="Heading2"/>
      </w:pPr>
      <w:r>
        <w:rPr>
          <w:rFonts w:ascii="Aptos" w:hAnsi="Aptos"/>
          <w:b/>
          <w:color w:val="1E1E1E"/>
          <w:sz w:val="26"/>
        </w:rPr>
        <w:t>Section future non publiée</w:t>
      </w:r>
    </w:p>
    <w:tbl>
      <w:tblPr>
        <w:tblW w:type="auto" w:w="0"/>
        <w:jc w:val="center"/>
        <w:tblLayout w:type="autofit"/>
        <w:tblLook w:firstColumn="1" w:firstRow="1" w:lastColumn="0" w:lastRow="0" w:noHBand="0" w:noVBand="1" w:val="04A0"/>
      </w:tblPr>
      <w:tblGrid>
        <w:gridCol w:w="10166"/>
      </w:tblGrid>
      <w:tr>
        <w:tc>
          <w:tcPr>
            <w:tcW w:type="dxa" w:w="10166"/>
            <w:shd w:fill="EAF6FB"/>
            <w:tcBorders>
              <w:top w:val="single" w:sz="10" w:color="61B4DB"/>
              <w:left w:val="single" w:sz="10" w:color="61B4DB"/>
              <w:bottom w:val="single" w:sz="10" w:color="61B4DB"/>
              <w:right w:val="single" w:sz="10" w:color="61B4DB"/>
            </w:tcBorders>
          </w:tcPr>
          <w:p>
            <w:pPr>
              <w:spacing w:after="80"/>
            </w:pPr>
            <w:r>
              <w:rPr>
                <w:rFonts w:ascii="Aptos" w:hAnsi="Aptos"/>
                <w:b/>
                <w:color w:val="1E1E1E"/>
                <w:sz w:val="22"/>
              </w:rPr>
              <w:t>SOLUTIONS MODULAIRES - CACHÉE POUR LE MOMENT</w:t>
            </w:r>
          </w:p>
          <w:p>
            <w:pPr>
              <w:spacing w:after="0"/>
            </w:pPr>
            <w:r>
              <w:rPr>
                <w:rFonts w:ascii="Aptos" w:hAnsi="Aptos"/>
                <w:color w:val="1E1E1E"/>
                <w:sz w:val="20"/>
              </w:rPr>
              <w:t>Prévoir techniquement une future page pour la location, la vente, la livraison et le positionnement de conteneurs : entreposage, bureaux temporaires, ateliers, espaces de chantier et transformations personnalisées. Ne rien publier avant la confirmation de l’entente commerciale.</w:t>
            </w:r>
          </w:p>
        </w:tc>
      </w:tr>
    </w:tbl>
    <w:p>
      <w:pPr>
        <w:spacing w:after="0"/>
      </w:pPr>
    </w:p>
    <w:p>
      <w:r>
        <w:br w:type="page"/>
      </w:r>
    </w:p>
    <w:p>
      <w:pPr>
        <w:pStyle w:val="Heading1"/>
      </w:pPr>
      <w:r>
        <w:rPr>
          <w:rFonts w:ascii="Aptos" w:hAnsi="Aptos"/>
          <w:b/>
          <w:color w:val="1E1E1E"/>
          <w:sz w:val="36"/>
        </w:rPr>
        <w:t>4. Structure de la page d’accueil</w:t>
      </w:r>
    </w:p>
    <w:p>
      <w:pPr>
        <w:spacing w:after="200"/>
      </w:pPr>
      <w:r>
        <w:rPr>
          <w:rFonts w:ascii="Aptos" w:hAnsi="Aptos"/>
          <w:color w:val="5A5A5A"/>
          <w:sz w:val="21"/>
        </w:rPr>
        <w:t>La page d’accueil doit raconter KO-LAB dans le bon ordre : besoin du client, capacité, preuve, moyens, réseau et prise de contact.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E1E1E"/>
            <w:vAlign w:val="center"/>
          </w:tcPr>
          <w:p>
            <w:pPr>
              <w:jc w:val="left"/>
            </w:pPr>
            <w:r>
              <w:rPr>
                <w:rFonts w:ascii="Aptos" w:hAnsi="Aptos"/>
                <w:b/>
                <w:color w:val="FFFFFF"/>
                <w:sz w:val="19"/>
              </w:rPr>
              <w:t>Section</w:t>
            </w:r>
          </w:p>
        </w:tc>
        <w:tc>
          <w:tcPr>
            <w:tcW w:type="dxa" w:w="6768"/>
            <w:shd w:fill="1E1E1E"/>
            <w:vAlign w:val="center"/>
          </w:tcPr>
          <w:p>
            <w:pPr>
              <w:jc w:val="left"/>
            </w:pPr>
            <w:r>
              <w:rPr>
                <w:rFonts w:ascii="Aptos" w:hAnsi="Aptos"/>
                <w:b/>
                <w:color w:val="FFFFFF"/>
                <w:sz w:val="19"/>
              </w:rPr>
              <w:t>Explication</w:t>
            </w:r>
          </w:p>
        </w:tc>
      </w:tr>
      <w:tr>
        <w:tc>
          <w:tcPr>
            <w:tcW w:type="dxa" w:w="2880"/>
            <w:vAlign w:val="top"/>
          </w:tcPr>
          <w:p>
            <w:pPr>
              <w:spacing w:after="0"/>
            </w:pPr>
            <w:r>
              <w:rPr>
                <w:rFonts w:ascii="Aptos" w:hAnsi="Aptos"/>
                <w:color w:val="1E1E1E"/>
                <w:sz w:val="18"/>
              </w:rPr>
              <w:t>1. Hero / ouverture</w:t>
            </w:r>
          </w:p>
        </w:tc>
        <w:tc>
          <w:tcPr>
            <w:tcW w:type="dxa" w:w="6768"/>
            <w:vAlign w:val="top"/>
          </w:tcPr>
          <w:p>
            <w:pPr>
              <w:spacing w:after="0"/>
            </w:pPr>
            <w:r>
              <w:rPr>
                <w:rFonts w:ascii="Aptos" w:hAnsi="Aptos"/>
                <w:color w:val="1E1E1E"/>
                <w:sz w:val="18"/>
              </w:rPr>
              <w:t>Question principale, vidéo ou photo forte, message central, signature et deux boutons.</w:t>
            </w:r>
          </w:p>
        </w:tc>
      </w:tr>
      <w:tr>
        <w:tc>
          <w:tcPr>
            <w:tcW w:type="dxa" w:w="2880"/>
            <w:shd w:fill="F5F5F5"/>
            <w:vAlign w:val="top"/>
          </w:tcPr>
          <w:p>
            <w:pPr>
              <w:spacing w:after="0"/>
            </w:pPr>
            <w:r>
              <w:rPr>
                <w:rFonts w:ascii="Aptos" w:hAnsi="Aptos"/>
                <w:color w:val="1E1E1E"/>
                <w:sz w:val="18"/>
              </w:rPr>
              <w:t>2. Les quatre besoins</w:t>
            </w:r>
          </w:p>
        </w:tc>
        <w:tc>
          <w:tcPr>
            <w:tcW w:type="dxa" w:w="6768"/>
            <w:shd w:fill="F5F5F5"/>
            <w:vAlign w:val="top"/>
          </w:tcPr>
          <w:p>
            <w:pPr>
              <w:spacing w:after="0"/>
            </w:pPr>
            <w:r>
              <w:rPr>
                <w:rFonts w:ascii="Aptos" w:hAnsi="Aptos"/>
                <w:color w:val="1E1E1E"/>
                <w:sz w:val="18"/>
              </w:rPr>
              <w:t>Déployer une équipe • Installer un projet • Fabriquer une solution • Louer de l’équipement.</w:t>
            </w:r>
          </w:p>
        </w:tc>
      </w:tr>
      <w:tr>
        <w:tc>
          <w:tcPr>
            <w:tcW w:type="dxa" w:w="2880"/>
            <w:vAlign w:val="top"/>
          </w:tcPr>
          <w:p>
            <w:pPr>
              <w:spacing w:after="0"/>
            </w:pPr>
            <w:r>
              <w:rPr>
                <w:rFonts w:ascii="Aptos" w:hAnsi="Aptos"/>
                <w:color w:val="1E1E1E"/>
                <w:sz w:val="18"/>
              </w:rPr>
              <w:t>3. Crédibilité terrain</w:t>
            </w:r>
          </w:p>
        </w:tc>
        <w:tc>
          <w:tcPr>
            <w:tcW w:type="dxa" w:w="6768"/>
            <w:vAlign w:val="top"/>
          </w:tcPr>
          <w:p>
            <w:pPr>
              <w:spacing w:after="0"/>
            </w:pPr>
            <w:r>
              <w:rPr>
                <w:rFonts w:ascii="Aptos" w:hAnsi="Aptos"/>
                <w:color w:val="1E1E1E"/>
                <w:sz w:val="18"/>
              </w:rPr>
              <w:t>Plus de 20 000 heures, plusieurs sites simultanés, grands mandats et phrase forte.</w:t>
            </w:r>
          </w:p>
        </w:tc>
      </w:tr>
      <w:tr>
        <w:tc>
          <w:tcPr>
            <w:tcW w:type="dxa" w:w="2880"/>
            <w:shd w:fill="F5F5F5"/>
            <w:vAlign w:val="top"/>
          </w:tcPr>
          <w:p>
            <w:pPr>
              <w:spacing w:after="0"/>
            </w:pPr>
            <w:r>
              <w:rPr>
                <w:rFonts w:ascii="Aptos" w:hAnsi="Aptos"/>
                <w:color w:val="1E1E1E"/>
                <w:sz w:val="18"/>
              </w:rPr>
              <w:t>4. Opérations terrain</w:t>
            </w:r>
          </w:p>
        </w:tc>
        <w:tc>
          <w:tcPr>
            <w:tcW w:type="dxa" w:w="6768"/>
            <w:shd w:fill="F5F5F5"/>
            <w:vAlign w:val="top"/>
          </w:tcPr>
          <w:p>
            <w:pPr>
              <w:spacing w:after="0"/>
            </w:pPr>
            <w:r>
              <w:rPr>
                <w:rFonts w:ascii="Aptos" w:hAnsi="Aptos"/>
                <w:color w:val="1E1E1E"/>
                <w:sz w:val="18"/>
              </w:rPr>
              <w:t>Résumé du service et lien vers la page détaillée.</w:t>
            </w:r>
          </w:p>
        </w:tc>
      </w:tr>
      <w:tr>
        <w:tc>
          <w:tcPr>
            <w:tcW w:type="dxa" w:w="2880"/>
            <w:vAlign w:val="top"/>
          </w:tcPr>
          <w:p>
            <w:pPr>
              <w:spacing w:after="0"/>
            </w:pPr>
            <w:r>
              <w:rPr>
                <w:rFonts w:ascii="Aptos" w:hAnsi="Aptos"/>
                <w:color w:val="1E1E1E"/>
                <w:sz w:val="18"/>
              </w:rPr>
              <w:t>5. Installations</w:t>
            </w:r>
          </w:p>
        </w:tc>
        <w:tc>
          <w:tcPr>
            <w:tcW w:type="dxa" w:w="6768"/>
            <w:vAlign w:val="top"/>
          </w:tcPr>
          <w:p>
            <w:pPr>
              <w:spacing w:after="0"/>
            </w:pPr>
            <w:r>
              <w:rPr>
                <w:rFonts w:ascii="Aptos" w:hAnsi="Aptos"/>
                <w:color w:val="1E1E1E"/>
                <w:sz w:val="18"/>
              </w:rPr>
              <w:t>Décors saisonniers, installations commerciales et gestion complète du déploiement.</w:t>
            </w:r>
          </w:p>
        </w:tc>
      </w:tr>
      <w:tr>
        <w:tc>
          <w:tcPr>
            <w:tcW w:type="dxa" w:w="2880"/>
            <w:shd w:fill="F5F5F5"/>
            <w:vAlign w:val="top"/>
          </w:tcPr>
          <w:p>
            <w:pPr>
              <w:spacing w:after="0"/>
            </w:pPr>
            <w:r>
              <w:rPr>
                <w:rFonts w:ascii="Aptos" w:hAnsi="Aptos"/>
                <w:color w:val="1E1E1E"/>
                <w:sz w:val="18"/>
              </w:rPr>
              <w:t>6. Le LAB</w:t>
            </w:r>
          </w:p>
        </w:tc>
        <w:tc>
          <w:tcPr>
            <w:tcW w:type="dxa" w:w="6768"/>
            <w:shd w:fill="F5F5F5"/>
            <w:vAlign w:val="top"/>
          </w:tcPr>
          <w:p>
            <w:pPr>
              <w:spacing w:after="0"/>
            </w:pPr>
            <w:r>
              <w:rPr>
                <w:rFonts w:ascii="Aptos" w:hAnsi="Aptos"/>
                <w:color w:val="1E1E1E"/>
                <w:sz w:val="18"/>
              </w:rPr>
              <w:t>Développement, prototypage, fabrication, reproduction de pièces et chaînes de production.</w:t>
            </w:r>
          </w:p>
        </w:tc>
      </w:tr>
      <w:tr>
        <w:tc>
          <w:tcPr>
            <w:tcW w:type="dxa" w:w="2880"/>
            <w:vAlign w:val="top"/>
          </w:tcPr>
          <w:p>
            <w:pPr>
              <w:spacing w:after="0"/>
            </w:pPr>
            <w:r>
              <w:rPr>
                <w:rFonts w:ascii="Aptos" w:hAnsi="Aptos"/>
                <w:color w:val="1E1E1E"/>
                <w:sz w:val="18"/>
              </w:rPr>
              <w:t>7. Équipements et déploiement</w:t>
            </w:r>
          </w:p>
        </w:tc>
        <w:tc>
          <w:tcPr>
            <w:tcW w:type="dxa" w:w="6768"/>
            <w:vAlign w:val="top"/>
          </w:tcPr>
          <w:p>
            <w:pPr>
              <w:spacing w:after="0"/>
            </w:pPr>
            <w:r>
              <w:rPr>
                <w:rFonts w:ascii="Aptos" w:hAnsi="Aptos"/>
                <w:color w:val="1E1E1E"/>
                <w:sz w:val="18"/>
              </w:rPr>
              <w:t>Véhicules, remorques, nacelles, outils et capacités de transport.</w:t>
            </w:r>
          </w:p>
        </w:tc>
      </w:tr>
      <w:tr>
        <w:tc>
          <w:tcPr>
            <w:tcW w:type="dxa" w:w="2880"/>
            <w:shd w:fill="F5F5F5"/>
            <w:vAlign w:val="top"/>
          </w:tcPr>
          <w:p>
            <w:pPr>
              <w:spacing w:after="0"/>
            </w:pPr>
            <w:r>
              <w:rPr>
                <w:rFonts w:ascii="Aptos" w:hAnsi="Aptos"/>
                <w:color w:val="1E1E1E"/>
                <w:sz w:val="18"/>
              </w:rPr>
              <w:t>8. Partenariat GM Locations</w:t>
            </w:r>
          </w:p>
        </w:tc>
        <w:tc>
          <w:tcPr>
            <w:tcW w:type="dxa" w:w="6768"/>
            <w:shd w:fill="F5F5F5"/>
            <w:vAlign w:val="top"/>
          </w:tcPr>
          <w:p>
            <w:pPr>
              <w:spacing w:after="0"/>
            </w:pPr>
            <w:r>
              <w:rPr>
                <w:rFonts w:ascii="Aptos" w:hAnsi="Aptos"/>
                <w:color w:val="1E1E1E"/>
                <w:sz w:val="18"/>
              </w:rPr>
              <w:t>Accès à des outils, équipements et machineries additionnels.</w:t>
            </w:r>
          </w:p>
        </w:tc>
      </w:tr>
      <w:tr>
        <w:tc>
          <w:tcPr>
            <w:tcW w:type="dxa" w:w="2880"/>
            <w:vAlign w:val="top"/>
          </w:tcPr>
          <w:p>
            <w:pPr>
              <w:spacing w:after="0"/>
            </w:pPr>
            <w:r>
              <w:rPr>
                <w:rFonts w:ascii="Aptos" w:hAnsi="Aptos"/>
                <w:color w:val="1E1E1E"/>
                <w:sz w:val="18"/>
              </w:rPr>
              <w:t>9. Réalisations</w:t>
            </w:r>
          </w:p>
        </w:tc>
        <w:tc>
          <w:tcPr>
            <w:tcW w:type="dxa" w:w="6768"/>
            <w:vAlign w:val="top"/>
          </w:tcPr>
          <w:p>
            <w:pPr>
              <w:spacing w:after="0"/>
            </w:pPr>
            <w:r>
              <w:rPr>
                <w:rFonts w:ascii="Aptos" w:hAnsi="Aptos"/>
                <w:color w:val="1E1E1E"/>
                <w:sz w:val="18"/>
              </w:rPr>
              <w:t>Sélection visuelle de projets et accès à la galerie.</w:t>
            </w:r>
          </w:p>
        </w:tc>
      </w:tr>
      <w:tr>
        <w:tc>
          <w:tcPr>
            <w:tcW w:type="dxa" w:w="2880"/>
            <w:shd w:fill="F5F5F5"/>
            <w:vAlign w:val="top"/>
          </w:tcPr>
          <w:p>
            <w:pPr>
              <w:spacing w:after="0"/>
            </w:pPr>
            <w:r>
              <w:rPr>
                <w:rFonts w:ascii="Aptos" w:hAnsi="Aptos"/>
                <w:color w:val="1E1E1E"/>
                <w:sz w:val="18"/>
              </w:rPr>
              <w:t>10. Écosystème KO-LAB</w:t>
            </w:r>
          </w:p>
        </w:tc>
        <w:tc>
          <w:tcPr>
            <w:tcW w:type="dxa" w:w="6768"/>
            <w:shd w:fill="F5F5F5"/>
            <w:vAlign w:val="top"/>
          </w:tcPr>
          <w:p>
            <w:pPr>
              <w:spacing w:after="0"/>
            </w:pPr>
            <w:r>
              <w:rPr>
                <w:rFonts w:ascii="Aptos" w:hAnsi="Aptos"/>
                <w:color w:val="1E1E1E"/>
                <w:sz w:val="18"/>
              </w:rPr>
              <w:t>Impression Turbo, Vêtement Spartan, Expérience Mobile Ultime et Centre de l’auto VIP.</w:t>
            </w:r>
          </w:p>
        </w:tc>
      </w:tr>
      <w:tr>
        <w:tc>
          <w:tcPr>
            <w:tcW w:type="dxa" w:w="2880"/>
            <w:vAlign w:val="top"/>
          </w:tcPr>
          <w:p>
            <w:pPr>
              <w:spacing w:after="0"/>
            </w:pPr>
            <w:r>
              <w:rPr>
                <w:rFonts w:ascii="Aptos" w:hAnsi="Aptos"/>
                <w:color w:val="1E1E1E"/>
                <w:sz w:val="18"/>
              </w:rPr>
              <w:t>11. Location</w:t>
            </w:r>
          </w:p>
        </w:tc>
        <w:tc>
          <w:tcPr>
            <w:tcW w:type="dxa" w:w="6768"/>
            <w:vAlign w:val="top"/>
          </w:tcPr>
          <w:p>
            <w:pPr>
              <w:spacing w:after="0"/>
            </w:pPr>
            <w:r>
              <w:rPr>
                <w:rFonts w:ascii="Aptos" w:hAnsi="Aptos"/>
                <w:color w:val="1E1E1E"/>
                <w:sz w:val="18"/>
              </w:rPr>
              <w:t>Aperçu et redirection vers Rentman.</w:t>
            </w:r>
          </w:p>
        </w:tc>
      </w:tr>
      <w:tr>
        <w:tc>
          <w:tcPr>
            <w:tcW w:type="dxa" w:w="2880"/>
            <w:shd w:fill="F5F5F5"/>
            <w:vAlign w:val="top"/>
          </w:tcPr>
          <w:p>
            <w:pPr>
              <w:spacing w:after="0"/>
            </w:pPr>
            <w:r>
              <w:rPr>
                <w:rFonts w:ascii="Aptos" w:hAnsi="Aptos"/>
                <w:color w:val="1E1E1E"/>
                <w:sz w:val="18"/>
              </w:rPr>
              <w:t>12. Boutique</w:t>
            </w:r>
          </w:p>
        </w:tc>
        <w:tc>
          <w:tcPr>
            <w:tcW w:type="dxa" w:w="6768"/>
            <w:shd w:fill="F5F5F5"/>
            <w:vAlign w:val="top"/>
          </w:tcPr>
          <w:p>
            <w:pPr>
              <w:spacing w:after="0"/>
            </w:pPr>
            <w:r>
              <w:rPr>
                <w:rFonts w:ascii="Aptos" w:hAnsi="Aptos"/>
                <w:color w:val="1E1E1E"/>
                <w:sz w:val="18"/>
              </w:rPr>
              <w:t>Machines, outils et technologies vendus sur commande ou par liens partenaires.</w:t>
            </w:r>
          </w:p>
        </w:tc>
      </w:tr>
      <w:tr>
        <w:tc>
          <w:tcPr>
            <w:tcW w:type="dxa" w:w="2880"/>
            <w:vAlign w:val="top"/>
          </w:tcPr>
          <w:p>
            <w:pPr>
              <w:spacing w:after="0"/>
            </w:pPr>
            <w:r>
              <w:rPr>
                <w:rFonts w:ascii="Aptos" w:hAnsi="Aptos"/>
                <w:color w:val="1E1E1E"/>
                <w:sz w:val="18"/>
              </w:rPr>
              <w:t>13. Appel à l’action final</w:t>
            </w:r>
          </w:p>
        </w:tc>
        <w:tc>
          <w:tcPr>
            <w:tcW w:type="dxa" w:w="6768"/>
            <w:vAlign w:val="top"/>
          </w:tcPr>
          <w:p>
            <w:pPr>
              <w:spacing w:after="0"/>
            </w:pPr>
            <w:r>
              <w:rPr>
                <w:rFonts w:ascii="Aptos" w:hAnsi="Aptos"/>
                <w:color w:val="1E1E1E"/>
                <w:sz w:val="18"/>
              </w:rPr>
              <w:t>« Alors, qu’est-ce qu’on met sur le terrain? »</w:t>
            </w:r>
          </w:p>
        </w:tc>
      </w:tr>
    </w:tbl>
    <w:p>
      <w:pPr>
        <w:spacing w:after="0"/>
      </w:pPr>
    </w:p>
    <w:p>
      <w:r>
        <w:br w:type="page"/>
      </w:r>
    </w:p>
    <w:p>
      <w:pPr>
        <w:pStyle w:val="Heading1"/>
      </w:pPr>
      <w:r>
        <w:rPr>
          <w:rFonts w:ascii="Aptos" w:hAnsi="Aptos"/>
          <w:b/>
          <w:color w:val="1E1E1E"/>
          <w:sz w:val="36"/>
        </w:rPr>
        <w:t>5. Pages de capacités</w:t>
      </w:r>
    </w:p>
    <w:p>
      <w:pPr>
        <w:spacing w:after="200"/>
      </w:pPr>
      <w:r>
        <w:rPr>
          <w:rFonts w:ascii="Aptos" w:hAnsi="Aptos"/>
          <w:color w:val="5A5A5A"/>
          <w:sz w:val="21"/>
        </w:rPr>
        <w:t>Chaque page doit pouvoir être construite et testée indépendamment sans modifier le reste du site.</w:t>
      </w:r>
    </w:p>
    <w:p>
      <w:pPr>
        <w:pStyle w:val="Heading2"/>
      </w:pPr>
      <w:r>
        <w:rPr>
          <w:rFonts w:ascii="Aptos" w:hAnsi="Aptos"/>
          <w:b/>
          <w:color w:val="1E1E1E"/>
          <w:sz w:val="26"/>
        </w:rPr>
        <w:t>Opérations terrain</w:t>
      </w:r>
    </w:p>
    <w:p>
      <w:pPr>
        <w:spacing w:after="120"/>
      </w:pPr>
      <w:r>
        <w:rPr>
          <w:rFonts w:ascii="Aptos" w:hAnsi="Aptos"/>
          <w:color w:val="1E1E1E"/>
          <w:sz w:val="20"/>
        </w:rPr>
        <w:t>Objectif : démontrer la capacité de KO-LAB à fournir et coordonner des équipes fiables pour des événements majeurs, des opérations gouvernementales et des projets multisites.</w:t>
      </w:r>
    </w:p>
    <w:p>
      <w:pPr>
        <w:pStyle w:val="ListBullet"/>
        <w:spacing w:after="40"/>
      </w:pPr>
      <w:r>
        <w:rPr>
          <w:rFonts w:ascii="Aptos" w:hAnsi="Aptos"/>
          <w:color w:val="1E1E1E"/>
          <w:sz w:val="20"/>
        </w:rPr>
        <w:t>Main-d’œuvre terrain</w:t>
      </w:r>
    </w:p>
    <w:p>
      <w:pPr>
        <w:pStyle w:val="ListBullet"/>
        <w:spacing w:after="40"/>
      </w:pPr>
      <w:r>
        <w:rPr>
          <w:rFonts w:ascii="Aptos" w:hAnsi="Aptos"/>
          <w:color w:val="1E1E1E"/>
          <w:sz w:val="20"/>
        </w:rPr>
        <w:t>Chefs d’équipe</w:t>
      </w:r>
    </w:p>
    <w:p>
      <w:pPr>
        <w:pStyle w:val="ListBullet"/>
        <w:spacing w:after="40"/>
      </w:pPr>
      <w:r>
        <w:rPr>
          <w:rFonts w:ascii="Aptos" w:hAnsi="Aptos"/>
          <w:color w:val="1E1E1E"/>
          <w:sz w:val="20"/>
        </w:rPr>
        <w:t>Planification des effectifs et horaires</w:t>
      </w:r>
    </w:p>
    <w:p>
      <w:pPr>
        <w:pStyle w:val="ListBullet"/>
        <w:spacing w:after="40"/>
      </w:pPr>
      <w:r>
        <w:rPr>
          <w:rFonts w:ascii="Aptos" w:hAnsi="Aptos"/>
          <w:color w:val="1E1E1E"/>
          <w:sz w:val="20"/>
        </w:rPr>
        <w:t>Montage et démontage</w:t>
      </w:r>
    </w:p>
    <w:p>
      <w:pPr>
        <w:pStyle w:val="ListBullet"/>
        <w:spacing w:after="40"/>
      </w:pPr>
      <w:r>
        <w:rPr>
          <w:rFonts w:ascii="Aptos" w:hAnsi="Aptos"/>
          <w:color w:val="1E1E1E"/>
          <w:sz w:val="20"/>
        </w:rPr>
        <w:t>Logistique et transport</w:t>
      </w:r>
    </w:p>
    <w:p>
      <w:pPr>
        <w:pStyle w:val="ListBullet"/>
        <w:spacing w:after="40"/>
      </w:pPr>
      <w:r>
        <w:rPr>
          <w:rFonts w:ascii="Aptos" w:hAnsi="Aptos"/>
          <w:color w:val="1E1E1E"/>
          <w:sz w:val="20"/>
        </w:rPr>
        <w:t>Déplacement d’équipements</w:t>
      </w:r>
    </w:p>
    <w:p>
      <w:pPr>
        <w:pStyle w:val="ListBullet"/>
        <w:spacing w:after="40"/>
      </w:pPr>
      <w:r>
        <w:rPr>
          <w:rFonts w:ascii="Aptos" w:hAnsi="Aptos"/>
          <w:color w:val="1E1E1E"/>
          <w:sz w:val="20"/>
        </w:rPr>
        <w:t>Soutien pendant l’événement</w:t>
      </w:r>
    </w:p>
    <w:p>
      <w:pPr>
        <w:pStyle w:val="ListBullet"/>
        <w:spacing w:after="40"/>
      </w:pPr>
      <w:r>
        <w:rPr>
          <w:rFonts w:ascii="Aptos" w:hAnsi="Aptos"/>
          <w:color w:val="1E1E1E"/>
          <w:sz w:val="20"/>
        </w:rPr>
        <w:t>Intégration aux équipes internes du client</w:t>
      </w:r>
    </w:p>
    <w:tbl>
      <w:tblPr>
        <w:tblW w:type="auto" w:w="0"/>
        <w:jc w:val="center"/>
        <w:tblLayout w:type="autofit"/>
        <w:tblLook w:firstColumn="1" w:firstRow="1" w:lastColumn="0" w:lastRow="0" w:noHBand="0" w:noVBand="1" w:val="04A0"/>
      </w:tblPr>
      <w:tblGrid>
        <w:gridCol w:w="10166"/>
      </w:tblGrid>
      <w:tr>
        <w:tc>
          <w:tcPr>
            <w:tcW w:type="dxa" w:w="10166"/>
            <w:shd w:fill="EAF6FB"/>
            <w:tcBorders>
              <w:top w:val="single" w:sz="10" w:color="61B4DB"/>
              <w:left w:val="single" w:sz="10" w:color="61B4DB"/>
              <w:bottom w:val="single" w:sz="10" w:color="61B4DB"/>
              <w:right w:val="single" w:sz="10" w:color="61B4DB"/>
            </w:tcBorders>
          </w:tcPr>
          <w:p>
            <w:pPr>
              <w:spacing w:after="80"/>
            </w:pPr>
            <w:r>
              <w:rPr>
                <w:rFonts w:ascii="Aptos" w:hAnsi="Aptos"/>
                <w:b/>
                <w:color w:val="1E1E1E"/>
                <w:sz w:val="22"/>
              </w:rPr>
              <w:t>PHRASE À CONSERVER</w:t>
            </w:r>
          </w:p>
          <w:p>
            <w:pPr>
              <w:spacing w:after="0"/>
            </w:pPr>
            <w:r>
              <w:rPr>
                <w:rFonts w:ascii="Aptos" w:hAnsi="Aptos"/>
                <w:color w:val="1E1E1E"/>
                <w:sz w:val="20"/>
              </w:rPr>
              <w:t>Votre organisation conserve la vision. Nous ajoutons les ressources nécessaires pour la mettre sur le terrain.</w:t>
            </w:r>
          </w:p>
        </w:tc>
      </w:tr>
    </w:tbl>
    <w:p>
      <w:pPr>
        <w:spacing w:after="0"/>
      </w:pPr>
    </w:p>
    <w:p>
      <w:pPr>
        <w:pStyle w:val="Heading2"/>
      </w:pPr>
      <w:r>
        <w:rPr>
          <w:rFonts w:ascii="Aptos" w:hAnsi="Aptos"/>
          <w:b/>
          <w:color w:val="1E1E1E"/>
          <w:sz w:val="26"/>
        </w:rPr>
        <w:t>Installations saisonnières et commerciales</w:t>
      </w:r>
    </w:p>
    <w:p>
      <w:pPr>
        <w:spacing w:after="120"/>
      </w:pPr>
      <w:r>
        <w:rPr>
          <w:rFonts w:ascii="Aptos" w:hAnsi="Aptos"/>
          <w:color w:val="1E1E1E"/>
          <w:sz w:val="20"/>
        </w:rPr>
        <w:t>Objectif : présenter KO-LAB comme le bras opérationnel qui prend en charge la préparation, le transport, l’installation, le suivi et le retrait.</w:t>
      </w:r>
    </w:p>
    <w:p>
      <w:pPr>
        <w:pStyle w:val="ListBullet"/>
        <w:spacing w:after="40"/>
      </w:pPr>
      <w:r>
        <w:rPr>
          <w:rFonts w:ascii="Aptos" w:hAnsi="Aptos"/>
          <w:color w:val="1E1E1E"/>
          <w:sz w:val="20"/>
        </w:rPr>
        <w:t>Décors de Noël et d’hiver</w:t>
      </w:r>
    </w:p>
    <w:p>
      <w:pPr>
        <w:pStyle w:val="ListBullet"/>
        <w:spacing w:after="40"/>
      </w:pPr>
      <w:r>
        <w:rPr>
          <w:rFonts w:ascii="Aptos" w:hAnsi="Aptos"/>
          <w:color w:val="1E1E1E"/>
          <w:sz w:val="20"/>
        </w:rPr>
        <w:t>Centres commerciaux et tours à bureaux</w:t>
      </w:r>
    </w:p>
    <w:p>
      <w:pPr>
        <w:pStyle w:val="ListBullet"/>
        <w:spacing w:after="40"/>
      </w:pPr>
      <w:r>
        <w:rPr>
          <w:rFonts w:ascii="Aptos" w:hAnsi="Aptos"/>
          <w:color w:val="1E1E1E"/>
          <w:sz w:val="20"/>
        </w:rPr>
        <w:t>Commerces, municipalités et espaces publics</w:t>
      </w:r>
    </w:p>
    <w:p>
      <w:pPr>
        <w:pStyle w:val="ListBullet"/>
        <w:spacing w:after="40"/>
      </w:pPr>
      <w:r>
        <w:rPr>
          <w:rFonts w:ascii="Aptos" w:hAnsi="Aptos"/>
          <w:color w:val="1E1E1E"/>
          <w:sz w:val="20"/>
        </w:rPr>
        <w:t>Signalisation et éclairage décoratif</w:t>
      </w:r>
    </w:p>
    <w:p>
      <w:pPr>
        <w:pStyle w:val="ListBullet"/>
        <w:spacing w:after="40"/>
      </w:pPr>
      <w:r>
        <w:rPr>
          <w:rFonts w:ascii="Aptos" w:hAnsi="Aptos"/>
          <w:color w:val="1E1E1E"/>
          <w:sz w:val="20"/>
        </w:rPr>
        <w:t>Structures, présentoirs et aménagements temporaires</w:t>
      </w:r>
    </w:p>
    <w:p>
      <w:pPr>
        <w:pStyle w:val="ListBullet"/>
        <w:spacing w:after="40"/>
      </w:pPr>
      <w:r>
        <w:rPr>
          <w:rFonts w:ascii="Aptos" w:hAnsi="Aptos"/>
          <w:color w:val="1E1E1E"/>
          <w:sz w:val="20"/>
        </w:rPr>
        <w:t>Travail de nuit ou en dehors des heures d’ouverture</w:t>
      </w:r>
    </w:p>
    <w:p>
      <w:pPr>
        <w:pStyle w:val="ListBullet"/>
        <w:spacing w:after="40"/>
      </w:pPr>
      <w:r>
        <w:rPr>
          <w:rFonts w:ascii="Aptos" w:hAnsi="Aptos"/>
          <w:color w:val="1E1E1E"/>
          <w:sz w:val="20"/>
        </w:rPr>
        <w:t>Emballage et préparation pour l’entreposage</w:t>
      </w:r>
    </w:p>
    <w:tbl>
      <w:tblPr>
        <w:tblW w:type="auto" w:w="0"/>
        <w:jc w:val="center"/>
        <w:tblLayout w:type="autofit"/>
        <w:tblLook w:firstColumn="1" w:firstRow="1" w:lastColumn="0" w:lastRow="0" w:noHBand="0" w:noVBand="1" w:val="04A0"/>
      </w:tblPr>
      <w:tblGrid>
        <w:gridCol w:w="10166"/>
      </w:tblGrid>
      <w:tr>
        <w:tc>
          <w:tcPr>
            <w:tcW w:type="dxa" w:w="10166"/>
            <w:shd w:fill="EAF6FB"/>
            <w:tcBorders>
              <w:top w:val="single" w:sz="10" w:color="61B4DB"/>
              <w:left w:val="single" w:sz="10" w:color="61B4DB"/>
              <w:bottom w:val="single" w:sz="10" w:color="61B4DB"/>
              <w:right w:val="single" w:sz="10" w:color="61B4DB"/>
            </w:tcBorders>
          </w:tcPr>
          <w:p>
            <w:pPr>
              <w:spacing w:after="80"/>
            </w:pPr>
            <w:r>
              <w:rPr>
                <w:rFonts w:ascii="Aptos" w:hAnsi="Aptos"/>
                <w:b/>
                <w:color w:val="1E1E1E"/>
                <w:sz w:val="22"/>
              </w:rPr>
              <w:t>PHRASE À CONSERVER</w:t>
            </w:r>
          </w:p>
          <w:p>
            <w:pPr>
              <w:spacing w:after="0"/>
            </w:pPr>
            <w:r>
              <w:rPr>
                <w:rFonts w:ascii="Aptos" w:hAnsi="Aptos"/>
                <w:color w:val="1E1E1E"/>
                <w:sz w:val="20"/>
              </w:rPr>
              <w:t>Nous ne faisons pas qu’installer des éléments. Nous organisons tout ce qu’il faut pour qu’ils se retrouvent au bon endroit, au bon moment.</w:t>
            </w:r>
          </w:p>
        </w:tc>
      </w:tr>
    </w:tbl>
    <w:p>
      <w:pPr>
        <w:spacing w:after="0"/>
      </w:pPr>
    </w:p>
    <w:p>
      <w:pPr>
        <w:pStyle w:val="Heading2"/>
      </w:pPr>
      <w:r>
        <w:rPr>
          <w:rFonts w:ascii="Aptos" w:hAnsi="Aptos"/>
          <w:b/>
          <w:color w:val="1E1E1E"/>
          <w:sz w:val="26"/>
        </w:rPr>
        <w:t>Le LAB</w:t>
      </w:r>
    </w:p>
    <w:p>
      <w:pPr>
        <w:spacing w:after="120"/>
      </w:pPr>
      <w:r>
        <w:rPr>
          <w:rFonts w:ascii="Aptos" w:hAnsi="Aptos"/>
          <w:color w:val="1E1E1E"/>
          <w:sz w:val="20"/>
        </w:rPr>
        <w:t>Objectif : dépasser l’image d’un simple atelier 3D et présenter un véritable espace de développement de produits, de prototypage et de mise en production.</w:t>
      </w:r>
    </w:p>
    <w:p>
      <w:pPr>
        <w:pStyle w:val="ListBullet"/>
        <w:spacing w:after="40"/>
      </w:pPr>
      <w:r>
        <w:rPr>
          <w:rFonts w:ascii="Aptos" w:hAnsi="Aptos"/>
          <w:color w:val="1E1E1E"/>
          <w:sz w:val="20"/>
        </w:rPr>
        <w:t>Conception et modélisation 3D</w:t>
      </w:r>
    </w:p>
    <w:p>
      <w:pPr>
        <w:pStyle w:val="ListBullet"/>
        <w:spacing w:after="40"/>
      </w:pPr>
      <w:r>
        <w:rPr>
          <w:rFonts w:ascii="Aptos" w:hAnsi="Aptos"/>
          <w:color w:val="1E1E1E"/>
          <w:sz w:val="20"/>
        </w:rPr>
        <w:t>Impression 3D</w:t>
      </w:r>
    </w:p>
    <w:p>
      <w:pPr>
        <w:pStyle w:val="ListBullet"/>
        <w:spacing w:after="40"/>
      </w:pPr>
      <w:r>
        <w:rPr>
          <w:rFonts w:ascii="Aptos" w:hAnsi="Aptos"/>
          <w:color w:val="1E1E1E"/>
          <w:sz w:val="20"/>
        </w:rPr>
        <w:t>Prototypage, essais et améliorations</w:t>
      </w:r>
    </w:p>
    <w:p>
      <w:pPr>
        <w:pStyle w:val="ListBullet"/>
        <w:spacing w:after="40"/>
      </w:pPr>
      <w:r>
        <w:rPr>
          <w:rFonts w:ascii="Aptos" w:hAnsi="Aptos"/>
          <w:color w:val="1E1E1E"/>
          <w:sz w:val="20"/>
        </w:rPr>
        <w:t>Laser et CNC</w:t>
      </w:r>
    </w:p>
    <w:p>
      <w:pPr>
        <w:pStyle w:val="ListBullet"/>
        <w:spacing w:after="40"/>
      </w:pPr>
      <w:r>
        <w:rPr>
          <w:rFonts w:ascii="Aptos" w:hAnsi="Aptos"/>
          <w:color w:val="1E1E1E"/>
          <w:sz w:val="20"/>
        </w:rPr>
        <w:t>Décors, signalisation et présentoirs</w:t>
      </w:r>
    </w:p>
    <w:p>
      <w:pPr>
        <w:pStyle w:val="ListBullet"/>
        <w:spacing w:after="40"/>
      </w:pPr>
      <w:r>
        <w:rPr>
          <w:rFonts w:ascii="Aptos" w:hAnsi="Aptos"/>
          <w:color w:val="1E1E1E"/>
          <w:sz w:val="20"/>
        </w:rPr>
        <w:t>Reproduction de pièces disparues, difficiles à obtenir ou vendues seulement avec un ensemble complet</w:t>
      </w:r>
    </w:p>
    <w:p>
      <w:pPr>
        <w:pStyle w:val="ListBullet"/>
        <w:spacing w:after="40"/>
      </w:pPr>
      <w:r>
        <w:rPr>
          <w:rFonts w:ascii="Aptos" w:hAnsi="Aptos"/>
          <w:color w:val="1E1E1E"/>
          <w:sz w:val="20"/>
        </w:rPr>
        <w:t>Petites séries, gabarits, outils d’assemblage et chaînes de production</w:t>
      </w:r>
    </w:p>
    <w:p>
      <w:pPr>
        <w:pStyle w:val="ListBullet"/>
        <w:spacing w:after="40"/>
      </w:pPr>
      <w:r>
        <w:rPr>
          <w:rFonts w:ascii="Aptos" w:hAnsi="Aptos"/>
          <w:color w:val="1E1E1E"/>
          <w:sz w:val="20"/>
        </w:rPr>
        <w:t>Livraison, installation et déploiement par KO-LAB</w:t>
      </w:r>
    </w:p>
    <w:tbl>
      <w:tblPr>
        <w:tblW w:type="auto" w:w="0"/>
        <w:jc w:val="center"/>
        <w:tblLayout w:type="autofit"/>
        <w:tblLook w:firstColumn="1" w:firstRow="1" w:lastColumn="0" w:lastRow="0" w:noHBand="0" w:noVBand="1" w:val="04A0"/>
      </w:tblPr>
      <w:tblGrid>
        <w:gridCol w:w="10166"/>
      </w:tblGrid>
      <w:tr>
        <w:tc>
          <w:tcPr>
            <w:tcW w:type="dxa" w:w="10166"/>
            <w:shd w:fill="EAF6FB"/>
            <w:tcBorders>
              <w:top w:val="single" w:sz="10" w:color="61B4DB"/>
              <w:left w:val="single" w:sz="10" w:color="61B4DB"/>
              <w:bottom w:val="single" w:sz="10" w:color="61B4DB"/>
              <w:right w:val="single" w:sz="10" w:color="61B4DB"/>
            </w:tcBorders>
          </w:tcPr>
          <w:p>
            <w:pPr>
              <w:spacing w:after="80"/>
            </w:pPr>
            <w:r>
              <w:rPr>
                <w:rFonts w:ascii="Aptos" w:hAnsi="Aptos"/>
                <w:b/>
                <w:color w:val="1E1E1E"/>
                <w:sz w:val="22"/>
              </w:rPr>
              <w:t>PHRASE DE MARQUE</w:t>
            </w:r>
          </w:p>
          <w:p>
            <w:pPr>
              <w:spacing w:after="0"/>
            </w:pPr>
            <w:r>
              <w:rPr>
                <w:rFonts w:ascii="Aptos" w:hAnsi="Aptos"/>
                <w:color w:val="1E1E1E"/>
                <w:sz w:val="20"/>
              </w:rPr>
              <w:t>Le LAB ne se limite pas à fabriquer ce que vous imaginez. Il nous permet de développer ce dont votre projet a réellement besoin.</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6FB"/>
            <w:tcBorders>
              <w:top w:val="single" w:sz="10" w:color="61B4DB"/>
              <w:left w:val="single" w:sz="10" w:color="61B4DB"/>
              <w:bottom w:val="single" w:sz="10" w:color="61B4DB"/>
              <w:right w:val="single" w:sz="10" w:color="61B4DB"/>
            </w:tcBorders>
          </w:tcPr>
          <w:p>
            <w:pPr>
              <w:spacing w:after="80"/>
            </w:pPr>
            <w:r>
              <w:rPr>
                <w:rFonts w:ascii="Aptos" w:hAnsi="Aptos"/>
                <w:b/>
                <w:color w:val="1E1E1E"/>
                <w:sz w:val="22"/>
              </w:rPr>
              <w:t>PHRASE EXPLICATIVE</w:t>
            </w:r>
          </w:p>
          <w:p>
            <w:pPr>
              <w:spacing w:after="0"/>
            </w:pPr>
            <w:r>
              <w:rPr>
                <w:rFonts w:ascii="Aptos" w:hAnsi="Aptos"/>
                <w:color w:val="1E1E1E"/>
                <w:sz w:val="20"/>
              </w:rPr>
              <w:t>De la première idée jusqu’à la chaîne de production, Le LAB développe les produits, les pièces et les solutions dont votre projet a réellement besoin.</w:t>
            </w:r>
          </w:p>
        </w:tc>
      </w:tr>
    </w:tbl>
    <w:p>
      <w:pPr>
        <w:spacing w:after="0"/>
      </w:pPr>
    </w:p>
    <w:p>
      <w:pPr>
        <w:pStyle w:val="Heading2"/>
      </w:pPr>
      <w:r>
        <w:rPr>
          <w:rFonts w:ascii="Aptos" w:hAnsi="Aptos"/>
          <w:b/>
          <w:color w:val="1E1E1E"/>
          <w:sz w:val="26"/>
        </w:rPr>
        <w:t>Équipements et déploiement</w:t>
      </w:r>
    </w:p>
    <w:p>
      <w:pPr>
        <w:spacing w:after="120"/>
      </w:pPr>
      <w:r>
        <w:rPr>
          <w:rFonts w:ascii="Aptos" w:hAnsi="Aptos"/>
          <w:color w:val="1E1E1E"/>
          <w:sz w:val="20"/>
        </w:rPr>
        <w:t>Objectif : montrer que KO-LAB ne fournit pas seulement des personnes, mais aussi les moyens de livrer le projet.</w:t>
      </w:r>
    </w:p>
    <w:p>
      <w:pPr>
        <w:pStyle w:val="ListBullet"/>
        <w:spacing w:after="40"/>
      </w:pPr>
      <w:r>
        <w:rPr>
          <w:rFonts w:ascii="Aptos" w:hAnsi="Aptos"/>
          <w:color w:val="1E1E1E"/>
          <w:sz w:val="20"/>
        </w:rPr>
        <w:t>Camions et véhicules de travail</w:t>
      </w:r>
    </w:p>
    <w:p>
      <w:pPr>
        <w:pStyle w:val="ListBullet"/>
        <w:spacing w:after="40"/>
      </w:pPr>
      <w:r>
        <w:rPr>
          <w:rFonts w:ascii="Aptos" w:hAnsi="Aptos"/>
          <w:color w:val="1E1E1E"/>
          <w:sz w:val="20"/>
        </w:rPr>
        <w:t>Remorques ouvertes, fermées et spécialisées</w:t>
      </w:r>
    </w:p>
    <w:p>
      <w:pPr>
        <w:pStyle w:val="ListBullet"/>
        <w:spacing w:after="40"/>
      </w:pPr>
      <w:r>
        <w:rPr>
          <w:rFonts w:ascii="Aptos" w:hAnsi="Aptos"/>
          <w:color w:val="1E1E1E"/>
          <w:sz w:val="20"/>
        </w:rPr>
        <w:t>Nacelles et équipements d’élévation</w:t>
      </w:r>
    </w:p>
    <w:p>
      <w:pPr>
        <w:pStyle w:val="ListBullet"/>
        <w:spacing w:after="40"/>
      </w:pPr>
      <w:r>
        <w:rPr>
          <w:rFonts w:ascii="Aptos" w:hAnsi="Aptos"/>
          <w:color w:val="1E1E1E"/>
          <w:sz w:val="20"/>
        </w:rPr>
        <w:t>Équipements de manutention</w:t>
      </w:r>
    </w:p>
    <w:p>
      <w:pPr>
        <w:pStyle w:val="ListBullet"/>
        <w:spacing w:after="40"/>
      </w:pPr>
      <w:r>
        <w:rPr>
          <w:rFonts w:ascii="Aptos" w:hAnsi="Aptos"/>
          <w:color w:val="1E1E1E"/>
          <w:sz w:val="20"/>
        </w:rPr>
        <w:t>Outils d’installation et matériel de chargement</w:t>
      </w:r>
    </w:p>
    <w:p>
      <w:pPr>
        <w:pStyle w:val="ListBullet"/>
        <w:spacing w:after="40"/>
      </w:pPr>
      <w:r>
        <w:rPr>
          <w:rFonts w:ascii="Aptos" w:hAnsi="Aptos"/>
          <w:color w:val="1E1E1E"/>
          <w:sz w:val="20"/>
        </w:rPr>
        <w:t>Éclairage temporaire et distribution électrique pour les besoins opérationnels</w:t>
      </w:r>
    </w:p>
    <w:p>
      <w:pPr>
        <w:pStyle w:val="ListBullet"/>
        <w:spacing w:after="40"/>
      </w:pPr>
      <w:r>
        <w:rPr>
          <w:rFonts w:ascii="Aptos" w:hAnsi="Aptos"/>
          <w:color w:val="1E1E1E"/>
          <w:sz w:val="20"/>
        </w:rPr>
        <w:t>Mobilier et infrastructures événementielles</w:t>
      </w:r>
    </w:p>
    <w:p>
      <w:pPr>
        <w:pStyle w:val="ListBullet"/>
        <w:spacing w:after="40"/>
      </w:pPr>
      <w:r>
        <w:rPr>
          <w:rFonts w:ascii="Aptos" w:hAnsi="Aptos"/>
          <w:color w:val="1E1E1E"/>
          <w:sz w:val="20"/>
        </w:rPr>
        <w:t>Accès à davantage de machinerie grâce à GM Locations</w:t>
      </w:r>
    </w:p>
    <w:tbl>
      <w:tblPr>
        <w:tblW w:type="auto" w:w="0"/>
        <w:jc w:val="center"/>
        <w:tblLayout w:type="autofit"/>
        <w:tblLook w:firstColumn="1" w:firstRow="1" w:lastColumn="0" w:lastRow="0" w:noHBand="0" w:noVBand="1" w:val="04A0"/>
      </w:tblPr>
      <w:tblGrid>
        <w:gridCol w:w="10166"/>
      </w:tblGrid>
      <w:tr>
        <w:tc>
          <w:tcPr>
            <w:tcW w:type="dxa" w:w="10166"/>
            <w:shd w:fill="EAF6FB"/>
            <w:tcBorders>
              <w:top w:val="single" w:sz="10" w:color="61B4DB"/>
              <w:left w:val="single" w:sz="10" w:color="61B4DB"/>
              <w:bottom w:val="single" w:sz="10" w:color="61B4DB"/>
              <w:right w:val="single" w:sz="10" w:color="61B4DB"/>
            </w:tcBorders>
          </w:tcPr>
          <w:p>
            <w:pPr>
              <w:spacing w:after="80"/>
            </w:pPr>
            <w:r>
              <w:rPr>
                <w:rFonts w:ascii="Aptos" w:hAnsi="Aptos"/>
                <w:b/>
                <w:color w:val="1E1E1E"/>
                <w:sz w:val="22"/>
              </w:rPr>
              <w:t>PHRASE À CONSERVER</w:t>
            </w:r>
          </w:p>
          <w:p>
            <w:pPr>
              <w:spacing w:after="0"/>
            </w:pPr>
            <w:r>
              <w:rPr>
                <w:rFonts w:ascii="Aptos" w:hAnsi="Aptos"/>
                <w:color w:val="1E1E1E"/>
                <w:sz w:val="20"/>
              </w:rPr>
              <w:t>Les bonnes équipes font avancer le projet. Les bons moyens permettent de le livrer.</w:t>
            </w:r>
          </w:p>
        </w:tc>
      </w:tr>
    </w:tbl>
    <w:p>
      <w:pPr>
        <w:spacing w:after="0"/>
      </w:pPr>
    </w:p>
    <w:p>
      <w:r>
        <w:br w:type="page"/>
      </w:r>
    </w:p>
    <w:p>
      <w:pPr>
        <w:pStyle w:val="Heading1"/>
      </w:pPr>
      <w:r>
        <w:rPr>
          <w:rFonts w:ascii="Aptos" w:hAnsi="Aptos"/>
          <w:b/>
          <w:color w:val="1E1E1E"/>
          <w:sz w:val="36"/>
        </w:rPr>
        <w:t>6. Autres pages et intégrations</w:t>
      </w:r>
    </w:p>
    <w:p>
      <w:pPr>
        <w:pStyle w:val="Heading2"/>
      </w:pPr>
      <w:r>
        <w:rPr>
          <w:rFonts w:ascii="Aptos" w:hAnsi="Aptos"/>
          <w:b/>
          <w:color w:val="1E1E1E"/>
          <w:sz w:val="26"/>
        </w:rPr>
        <w:t>Réalisations</w:t>
      </w:r>
    </w:p>
    <w:p>
      <w:pPr>
        <w:spacing w:after="120"/>
      </w:pPr>
      <w:r>
        <w:rPr>
          <w:rFonts w:ascii="Aptos" w:hAnsi="Aptos"/>
          <w:color w:val="1E1E1E"/>
          <w:sz w:val="20"/>
        </w:rPr>
        <w:t>Galerie filtrable avec possibilité d’ajouter plus tard des études de cas. Filtres suggérés : opérations terrain, installations, Le LAB, équipements, décors, signalisation, événements, projets commerciaux, gouvernementaux et spéciaux.</w:t>
      </w:r>
    </w:p>
    <w:p>
      <w:pPr>
        <w:pStyle w:val="Heading2"/>
      </w:pPr>
      <w:r>
        <w:rPr>
          <w:rFonts w:ascii="Aptos" w:hAnsi="Aptos"/>
          <w:b/>
          <w:color w:val="1E1E1E"/>
          <w:sz w:val="26"/>
        </w:rPr>
        <w:t>Location</w:t>
      </w:r>
    </w:p>
    <w:p>
      <w:pPr>
        <w:spacing w:after="120"/>
      </w:pPr>
      <w:r>
        <w:rPr>
          <w:rFonts w:ascii="Aptos" w:hAnsi="Aptos"/>
          <w:color w:val="1E1E1E"/>
          <w:sz w:val="20"/>
        </w:rPr>
        <w:t>Page temporaire en construction, très visuelle, qui présente brièvement les catégories et dirige vers Rentman. Prévoir un bouton direct vers l’inventaire et un formulaire de demande de location.</w:t>
      </w:r>
    </w:p>
    <w:p>
      <w:pPr>
        <w:pStyle w:val="Heading2"/>
      </w:pPr>
      <w:r>
        <w:rPr>
          <w:rFonts w:ascii="Aptos" w:hAnsi="Aptos"/>
          <w:b/>
          <w:color w:val="1E1E1E"/>
          <w:sz w:val="26"/>
        </w:rPr>
        <w:t>Boutique</w:t>
      </w:r>
    </w:p>
    <w:p>
      <w:pPr>
        <w:spacing w:after="120"/>
      </w:pPr>
      <w:r>
        <w:rPr>
          <w:rFonts w:ascii="Aptos" w:hAnsi="Aptos"/>
          <w:color w:val="1E1E1E"/>
          <w:sz w:val="20"/>
        </w:rPr>
        <w:t>Au lancement, la boutique fonctionne comme un catalogue multimarques avec commandes accompagnées, demandes de prix et services complémentaires. Il n’est pas nécessaire de construire immédiatement un commerce électronique complexe.</w:t>
      </w:r>
    </w:p>
    <w:p>
      <w:pPr>
        <w:pStyle w:val="ListBullet"/>
        <w:spacing w:after="40"/>
      </w:pPr>
      <w:r>
        <w:rPr>
          <w:rFonts w:ascii="Aptos" w:hAnsi="Aptos"/>
          <w:color w:val="1E1E1E"/>
          <w:sz w:val="20"/>
        </w:rPr>
        <w:t>Bambu Lab, xTool et autres marques futures</w:t>
      </w:r>
    </w:p>
    <w:p>
      <w:pPr>
        <w:pStyle w:val="ListBullet"/>
        <w:spacing w:after="40"/>
      </w:pPr>
      <w:r>
        <w:rPr>
          <w:rFonts w:ascii="Aptos" w:hAnsi="Aptos"/>
          <w:color w:val="1E1E1E"/>
          <w:sz w:val="20"/>
        </w:rPr>
        <w:t>Produits gérés par données : marque, catégorie, modèle, description, images, caractéristiques, prix ou « sur demande »</w:t>
      </w:r>
    </w:p>
    <w:p>
      <w:pPr>
        <w:pStyle w:val="ListBullet"/>
        <w:spacing w:after="40"/>
      </w:pPr>
      <w:r>
        <w:rPr>
          <w:rFonts w:ascii="Aptos" w:hAnsi="Aptos"/>
          <w:color w:val="1E1E1E"/>
          <w:sz w:val="20"/>
        </w:rPr>
        <w:t>Bouton externe vers le fabricant, lien affilié ou demande de commande selon la marque</w:t>
      </w:r>
    </w:p>
    <w:p>
      <w:pPr>
        <w:pStyle w:val="ListBullet"/>
        <w:spacing w:after="40"/>
      </w:pPr>
      <w:r>
        <w:rPr>
          <w:rFonts w:ascii="Aptos" w:hAnsi="Aptos"/>
          <w:color w:val="1E1E1E"/>
          <w:sz w:val="20"/>
        </w:rPr>
        <w:t>Services additionnels : conseil, livraison, installation, configuration et formation</w:t>
      </w:r>
    </w:p>
    <w:p>
      <w:pPr>
        <w:pStyle w:val="ListBullet"/>
        <w:spacing w:after="40"/>
      </w:pPr>
      <w:r>
        <w:rPr>
          <w:rFonts w:ascii="Aptos" w:hAnsi="Aptos"/>
          <w:color w:val="1E1E1E"/>
          <w:sz w:val="20"/>
        </w:rPr>
        <w:t>Possibilité d’ajouter un panier et paiement en ligne plus tard</w:t>
      </w:r>
    </w:p>
    <w:tbl>
      <w:tblPr>
        <w:tblW w:type="auto" w:w="0"/>
        <w:jc w:val="center"/>
        <w:tblLayout w:type="autofit"/>
        <w:tblLook w:firstColumn="1" w:firstRow="1" w:lastColumn="0" w:lastRow="0" w:noHBand="0" w:noVBand="1" w:val="04A0"/>
      </w:tblPr>
      <w:tblGrid>
        <w:gridCol w:w="10166"/>
      </w:tblGrid>
      <w:tr>
        <w:tc>
          <w:tcPr>
            <w:tcW w:type="dxa" w:w="10166"/>
            <w:shd w:fill="EAF6FB"/>
            <w:tcBorders>
              <w:top w:val="single" w:sz="10" w:color="61B4DB"/>
              <w:left w:val="single" w:sz="10" w:color="61B4DB"/>
              <w:bottom w:val="single" w:sz="10" w:color="61B4DB"/>
              <w:right w:val="single" w:sz="10" w:color="61B4DB"/>
            </w:tcBorders>
          </w:tcPr>
          <w:p>
            <w:pPr>
              <w:spacing w:after="80"/>
            </w:pPr>
            <w:r>
              <w:rPr>
                <w:rFonts w:ascii="Aptos" w:hAnsi="Aptos"/>
                <w:b/>
                <w:color w:val="1E1E1E"/>
                <w:sz w:val="22"/>
              </w:rPr>
              <w:t>POSITIONNEMENT DE LA BOUTIQUE</w:t>
            </w:r>
          </w:p>
          <w:p>
            <w:pPr>
              <w:spacing w:after="0"/>
            </w:pPr>
            <w:r>
              <w:rPr>
                <w:rFonts w:ascii="Aptos" w:hAnsi="Aptos"/>
                <w:color w:val="1E1E1E"/>
                <w:sz w:val="20"/>
              </w:rPr>
              <w:t>Des équipements sélectionnés, accompagnés par une équipe qui les utilise réellement.</w:t>
            </w:r>
          </w:p>
        </w:tc>
      </w:tr>
    </w:tbl>
    <w:p>
      <w:pPr>
        <w:spacing w:after="0"/>
      </w:pPr>
    </w:p>
    <w:p>
      <w:r>
        <w:br w:type="page"/>
      </w:r>
    </w:p>
    <w:p>
      <w:pPr>
        <w:pStyle w:val="Heading2"/>
      </w:pPr>
      <w:r>
        <w:rPr>
          <w:rFonts w:ascii="Aptos" w:hAnsi="Aptos"/>
          <w:b/>
          <w:color w:val="1E1E1E"/>
          <w:sz w:val="26"/>
        </w:rPr>
        <w:t>Écosystème KO-LAB</w:t>
      </w:r>
    </w:p>
    <w:p>
      <w:pPr>
        <w:spacing w:after="120"/>
      </w:pPr>
      <w:r>
        <w:rPr>
          <w:rFonts w:ascii="Aptos" w:hAnsi="Aptos"/>
          <w:color w:val="1E1E1E"/>
          <w:sz w:val="20"/>
        </w:rPr>
        <w:t>Ces entreprises ne doivent pas alourdir le menu principal. Elles apparaissent vers le bas de l’accueil et dans la page À propos pour démontrer la portée du réseau.</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E1E1E"/>
            <w:vAlign w:val="center"/>
          </w:tcPr>
          <w:p>
            <w:pPr>
              <w:jc w:val="left"/>
            </w:pPr>
            <w:r>
              <w:rPr>
                <w:rFonts w:ascii="Aptos" w:hAnsi="Aptos"/>
                <w:b/>
                <w:color w:val="FFFFFF"/>
                <w:sz w:val="19"/>
              </w:rPr>
              <w:t>Entreprise / partenaire</w:t>
            </w:r>
          </w:p>
        </w:tc>
        <w:tc>
          <w:tcPr>
            <w:tcW w:type="dxa" w:w="6696"/>
            <w:shd w:fill="1E1E1E"/>
            <w:vAlign w:val="center"/>
          </w:tcPr>
          <w:p>
            <w:pPr>
              <w:jc w:val="left"/>
            </w:pPr>
            <w:r>
              <w:rPr>
                <w:rFonts w:ascii="Aptos" w:hAnsi="Aptos"/>
                <w:b/>
                <w:color w:val="FFFFFF"/>
                <w:sz w:val="19"/>
              </w:rPr>
              <w:t>Rôle</w:t>
            </w:r>
          </w:p>
        </w:tc>
      </w:tr>
      <w:tr>
        <w:tc>
          <w:tcPr>
            <w:tcW w:type="dxa" w:w="2952"/>
            <w:vAlign w:val="top"/>
          </w:tcPr>
          <w:p>
            <w:pPr>
              <w:spacing w:after="0"/>
            </w:pPr>
            <w:r>
              <w:rPr>
                <w:rFonts w:ascii="Aptos" w:hAnsi="Aptos"/>
                <w:color w:val="1E1E1E"/>
                <w:sz w:val="18"/>
              </w:rPr>
              <w:t>Impression Turbo</w:t>
            </w:r>
          </w:p>
        </w:tc>
        <w:tc>
          <w:tcPr>
            <w:tcW w:type="dxa" w:w="6696"/>
            <w:vAlign w:val="top"/>
          </w:tcPr>
          <w:p>
            <w:pPr>
              <w:spacing w:after="0"/>
            </w:pPr>
            <w:r>
              <w:rPr>
                <w:rFonts w:ascii="Aptos" w:hAnsi="Aptos"/>
                <w:color w:val="1E1E1E"/>
                <w:sz w:val="18"/>
              </w:rPr>
              <w:t>Impression grand format, signalisation, production visuelle et habillage d’espaces.</w:t>
            </w:r>
          </w:p>
        </w:tc>
      </w:tr>
      <w:tr>
        <w:tc>
          <w:tcPr>
            <w:tcW w:type="dxa" w:w="2952"/>
            <w:shd w:fill="F5F5F5"/>
            <w:vAlign w:val="top"/>
          </w:tcPr>
          <w:p>
            <w:pPr>
              <w:spacing w:after="0"/>
            </w:pPr>
            <w:r>
              <w:rPr>
                <w:rFonts w:ascii="Aptos" w:hAnsi="Aptos"/>
                <w:color w:val="1E1E1E"/>
                <w:sz w:val="18"/>
              </w:rPr>
              <w:t>Vêtement Spartan</w:t>
            </w:r>
          </w:p>
        </w:tc>
        <w:tc>
          <w:tcPr>
            <w:tcW w:type="dxa" w:w="6696"/>
            <w:shd w:fill="F5F5F5"/>
            <w:vAlign w:val="top"/>
          </w:tcPr>
          <w:p>
            <w:pPr>
              <w:spacing w:after="0"/>
            </w:pPr>
            <w:r>
              <w:rPr>
                <w:rFonts w:ascii="Aptos" w:hAnsi="Aptos"/>
                <w:color w:val="1E1E1E"/>
                <w:sz w:val="18"/>
              </w:rPr>
              <w:t>Vêtements personnalisés, uniformes, merch et produits promotionnels.</w:t>
            </w:r>
          </w:p>
        </w:tc>
      </w:tr>
      <w:tr>
        <w:tc>
          <w:tcPr>
            <w:tcW w:type="dxa" w:w="2952"/>
            <w:vAlign w:val="top"/>
          </w:tcPr>
          <w:p>
            <w:pPr>
              <w:spacing w:after="0"/>
            </w:pPr>
            <w:r>
              <w:rPr>
                <w:rFonts w:ascii="Aptos" w:hAnsi="Aptos"/>
                <w:color w:val="1E1E1E"/>
                <w:sz w:val="18"/>
              </w:rPr>
              <w:t>Expérience Mobile Ultime</w:t>
            </w:r>
          </w:p>
        </w:tc>
        <w:tc>
          <w:tcPr>
            <w:tcW w:type="dxa" w:w="6696"/>
            <w:vAlign w:val="top"/>
          </w:tcPr>
          <w:p>
            <w:pPr>
              <w:spacing w:after="0"/>
            </w:pPr>
            <w:r>
              <w:rPr>
                <w:rFonts w:ascii="Aptos" w:hAnsi="Aptos"/>
                <w:color w:val="1E1E1E"/>
                <w:sz w:val="18"/>
              </w:rPr>
              <w:t>Arcade mobile, stations de jeux, Battlezone Nerf, photobooth 360 et expériences interactives.</w:t>
            </w:r>
          </w:p>
        </w:tc>
      </w:tr>
      <w:tr>
        <w:tc>
          <w:tcPr>
            <w:tcW w:type="dxa" w:w="2952"/>
            <w:shd w:fill="F5F5F5"/>
            <w:vAlign w:val="top"/>
          </w:tcPr>
          <w:p>
            <w:pPr>
              <w:spacing w:after="0"/>
            </w:pPr>
            <w:r>
              <w:rPr>
                <w:rFonts w:ascii="Aptos" w:hAnsi="Aptos"/>
                <w:color w:val="1E1E1E"/>
                <w:sz w:val="18"/>
              </w:rPr>
              <w:t>Centre de l’auto VIP</w:t>
            </w:r>
          </w:p>
        </w:tc>
        <w:tc>
          <w:tcPr>
            <w:tcW w:type="dxa" w:w="6696"/>
            <w:shd w:fill="F5F5F5"/>
            <w:vAlign w:val="top"/>
          </w:tcPr>
          <w:p>
            <w:pPr>
              <w:spacing w:after="0"/>
            </w:pPr>
            <w:r>
              <w:rPr>
                <w:rFonts w:ascii="Aptos" w:hAnsi="Aptos"/>
                <w:color w:val="1E1E1E"/>
                <w:sz w:val="18"/>
              </w:rPr>
              <w:t>Entretien mécanique, soutien aux véhicules et besoins liés à la flotte.</w:t>
            </w:r>
          </w:p>
        </w:tc>
      </w:tr>
      <w:tr>
        <w:tc>
          <w:tcPr>
            <w:tcW w:type="dxa" w:w="2952"/>
            <w:vAlign w:val="top"/>
          </w:tcPr>
          <w:p>
            <w:pPr>
              <w:spacing w:after="0"/>
            </w:pPr>
            <w:r>
              <w:rPr>
                <w:rFonts w:ascii="Aptos" w:hAnsi="Aptos"/>
                <w:color w:val="1E1E1E"/>
                <w:sz w:val="18"/>
              </w:rPr>
              <w:t>GM Locations</w:t>
            </w:r>
          </w:p>
        </w:tc>
        <w:tc>
          <w:tcPr>
            <w:tcW w:type="dxa" w:w="6696"/>
            <w:vAlign w:val="top"/>
          </w:tcPr>
          <w:p>
            <w:pPr>
              <w:spacing w:after="0"/>
            </w:pPr>
            <w:r>
              <w:rPr>
                <w:rFonts w:ascii="Aptos" w:hAnsi="Aptos"/>
                <w:color w:val="1E1E1E"/>
                <w:sz w:val="18"/>
              </w:rPr>
              <w:t>Partenaire stratégique externe pour outils, équipements et machineries additionnels.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6FB"/>
            <w:tcBorders>
              <w:top w:val="single" w:sz="10" w:color="61B4DB"/>
              <w:left w:val="single" w:sz="10" w:color="61B4DB"/>
              <w:bottom w:val="single" w:sz="10" w:color="61B4DB"/>
              <w:right w:val="single" w:sz="10" w:color="61B4DB"/>
            </w:tcBorders>
          </w:tcPr>
          <w:p>
            <w:pPr>
              <w:spacing w:after="80"/>
            </w:pPr>
            <w:r>
              <w:rPr>
                <w:rFonts w:ascii="Aptos" w:hAnsi="Aptos"/>
                <w:b/>
                <w:color w:val="1E1E1E"/>
                <w:sz w:val="22"/>
              </w:rPr>
              <w:t>MESSAGE À CONSERVER</w:t>
            </w:r>
          </w:p>
          <w:p>
            <w:pPr>
              <w:spacing w:after="0"/>
            </w:pPr>
            <w:r>
              <w:rPr>
                <w:rFonts w:ascii="Aptos" w:hAnsi="Aptos"/>
                <w:color w:val="1E1E1E"/>
                <w:sz w:val="20"/>
              </w:rPr>
              <w:t>Vous parlez à une équipe. Nous mobilisons le réseau nécessaire.</w:t>
            </w:r>
          </w:p>
        </w:tc>
      </w:tr>
    </w:tbl>
    <w:p>
      <w:pPr>
        <w:spacing w:after="0"/>
      </w:pPr>
    </w:p>
    <w:p>
      <w:pPr>
        <w:pStyle w:val="Heading1"/>
      </w:pPr>
      <w:r>
        <w:rPr>
          <w:rFonts w:ascii="Aptos" w:hAnsi="Aptos"/>
          <w:b/>
          <w:color w:val="1E1E1E"/>
          <w:sz w:val="36"/>
        </w:rPr>
        <w:t>7. Médias, contenu et méthode de travail</w:t>
      </w:r>
    </w:p>
    <w:p>
      <w:pPr>
        <w:pStyle w:val="Heading2"/>
      </w:pPr>
      <w:r>
        <w:rPr>
          <w:rFonts w:ascii="Aptos" w:hAnsi="Aptos"/>
          <w:b/>
          <w:color w:val="1E1E1E"/>
          <w:sz w:val="26"/>
        </w:rPr>
        <w:t>Directives pour les photos</w:t>
      </w:r>
    </w:p>
    <w:p>
      <w:pPr>
        <w:pStyle w:val="ListBullet"/>
        <w:spacing w:after="40"/>
      </w:pPr>
      <w:r>
        <w:rPr>
          <w:rFonts w:ascii="Aptos" w:hAnsi="Aptos"/>
          <w:color w:val="1E1E1E"/>
          <w:sz w:val="20"/>
        </w:rPr>
        <w:t>Prioriser les photos 2025 et 2026.</w:t>
      </w:r>
    </w:p>
    <w:p>
      <w:pPr>
        <w:pStyle w:val="ListBullet"/>
        <w:spacing w:after="40"/>
      </w:pPr>
      <w:r>
        <w:rPr>
          <w:rFonts w:ascii="Aptos" w:hAnsi="Aptos"/>
          <w:color w:val="1E1E1E"/>
          <w:sz w:val="20"/>
        </w:rPr>
        <w:t>Utiliser le moins possible d’images où les logos des clients dominent la composition.</w:t>
      </w:r>
    </w:p>
    <w:p>
      <w:pPr>
        <w:pStyle w:val="ListBullet"/>
        <w:spacing w:after="40"/>
      </w:pPr>
      <w:r>
        <w:rPr>
          <w:rFonts w:ascii="Aptos" w:hAnsi="Aptos"/>
          <w:color w:val="1E1E1E"/>
          <w:sz w:val="20"/>
        </w:rPr>
        <w:t>Mettre les photos avant 2025 plus bas dans les choix, sauf Flo Rida 2023, Feux sur glace 2024, Alex au pays des merveilles et Les Soirées illuminées d’Alex.</w:t>
      </w:r>
    </w:p>
    <w:p>
      <w:pPr>
        <w:pStyle w:val="ListBullet"/>
        <w:spacing w:after="40"/>
      </w:pPr>
      <w:r>
        <w:rPr>
          <w:rFonts w:ascii="Aptos" w:hAnsi="Aptos"/>
          <w:color w:val="1E1E1E"/>
          <w:sz w:val="20"/>
        </w:rPr>
        <w:t>Pour ces quatre projets personnels, utiliser les images comme créations passées sans nécessairement nommer les événements.</w:t>
      </w:r>
    </w:p>
    <w:p>
      <w:pPr>
        <w:pStyle w:val="ListBullet"/>
        <w:spacing w:after="40"/>
      </w:pPr>
      <w:r>
        <w:rPr>
          <w:rFonts w:ascii="Aptos" w:hAnsi="Aptos"/>
          <w:color w:val="1E1E1E"/>
          <w:sz w:val="20"/>
        </w:rPr>
        <w:t>Favoriser les équipes en action, les installations, les équipements, les créations et les détails de fabrication.</w:t>
      </w:r>
    </w:p>
    <w:p>
      <w:pPr>
        <w:pStyle w:val="ListBullet"/>
        <w:spacing w:after="40"/>
      </w:pPr>
      <w:r>
        <w:rPr>
          <w:rFonts w:ascii="Aptos" w:hAnsi="Aptos"/>
          <w:color w:val="1E1E1E"/>
          <w:sz w:val="20"/>
        </w:rPr>
        <w:t>Prévoir des espaces réservés tant que la sélection finale n’est pas terminée.</w:t>
      </w:r>
    </w:p>
    <w:p>
      <w:pPr>
        <w:pStyle w:val="Heading2"/>
      </w:pPr>
      <w:r>
        <w:rPr>
          <w:rFonts w:ascii="Aptos" w:hAnsi="Aptos"/>
          <w:b/>
          <w:color w:val="1E1E1E"/>
          <w:sz w:val="26"/>
        </w:rPr>
        <w:t>Méthode de construction à partir de ce week-end</w:t>
      </w:r>
    </w:p>
    <w:p>
      <w:pPr>
        <w:pStyle w:val="ListNumber"/>
        <w:spacing w:after="40"/>
      </w:pPr>
      <w:r>
        <w:rPr>
          <w:rFonts w:ascii="Aptos" w:hAnsi="Aptos"/>
          <w:color w:val="1E1E1E"/>
          <w:sz w:val="20"/>
        </w:rPr>
        <w:t>Christian choisit une page ou une section à travailler.</w:t>
      </w:r>
    </w:p>
    <w:p>
      <w:pPr>
        <w:pStyle w:val="ListNumber"/>
        <w:spacing w:after="40"/>
      </w:pPr>
      <w:r>
        <w:rPr>
          <w:rFonts w:ascii="Aptos" w:hAnsi="Aptos"/>
          <w:color w:val="1E1E1E"/>
          <w:sz w:val="20"/>
        </w:rPr>
        <w:t>ChatGPT prépare un prompt précis avec le texte, la hiérarchie, les comportements et les contraintes.</w:t>
      </w:r>
    </w:p>
    <w:p>
      <w:pPr>
        <w:pStyle w:val="ListNumber"/>
        <w:spacing w:after="40"/>
      </w:pPr>
      <w:r>
        <w:rPr>
          <w:rFonts w:ascii="Aptos" w:hAnsi="Aptos"/>
          <w:color w:val="1E1E1E"/>
          <w:sz w:val="20"/>
        </w:rPr>
        <w:t>L’agent de code modifie uniquement la partie demandée.</w:t>
      </w:r>
    </w:p>
    <w:p>
      <w:pPr>
        <w:pStyle w:val="ListNumber"/>
        <w:spacing w:after="40"/>
      </w:pPr>
      <w:r>
        <w:rPr>
          <w:rFonts w:ascii="Aptos" w:hAnsi="Aptos"/>
          <w:color w:val="1E1E1E"/>
          <w:sz w:val="20"/>
        </w:rPr>
        <w:t>La nouvelle version est ouverte en prévisualisation.</w:t>
      </w:r>
    </w:p>
    <w:p>
      <w:pPr>
        <w:pStyle w:val="ListNumber"/>
        <w:spacing w:after="40"/>
      </w:pPr>
      <w:r>
        <w:rPr>
          <w:rFonts w:ascii="Aptos" w:hAnsi="Aptos"/>
          <w:color w:val="1E1E1E"/>
          <w:sz w:val="20"/>
        </w:rPr>
        <w:t>Christian teste plusieurs variantes et approuve la meilleure.</w:t>
      </w:r>
    </w:p>
    <w:p>
      <w:pPr>
        <w:pStyle w:val="ListNumber"/>
        <w:spacing w:after="40"/>
      </w:pPr>
      <w:r>
        <w:rPr>
          <w:rFonts w:ascii="Aptos" w:hAnsi="Aptos"/>
          <w:color w:val="1E1E1E"/>
          <w:sz w:val="20"/>
        </w:rPr>
        <w:t>Moussa audite les changements importants ou techniques.</w:t>
      </w:r>
    </w:p>
    <w:p>
      <w:pPr>
        <w:pStyle w:val="ListNumber"/>
        <w:spacing w:after="40"/>
      </w:pPr>
      <w:r>
        <w:rPr>
          <w:rFonts w:ascii="Aptos" w:hAnsi="Aptos"/>
          <w:color w:val="1E1E1E"/>
          <w:sz w:val="20"/>
        </w:rPr>
        <w:t>La version approuvée est fusionnée et publiée.</w:t>
      </w:r>
    </w:p>
    <w:p>
      <w:pPr>
        <w:pStyle w:val="Heading2"/>
      </w:pPr>
      <w:r>
        <w:rPr>
          <w:rFonts w:ascii="Aptos" w:hAnsi="Aptos"/>
          <w:b/>
          <w:color w:val="1E1E1E"/>
          <w:sz w:val="26"/>
        </w:rPr>
        <w:t>Décisions déjà confirmées</w:t>
      </w:r>
    </w:p>
    <w:p>
      <w:pPr>
        <w:pStyle w:val="ListBullet"/>
        <w:spacing w:after="40"/>
      </w:pPr>
      <w:r>
        <w:rPr>
          <w:rFonts w:ascii="Aptos" w:hAnsi="Aptos"/>
          <w:color w:val="1E1E1E"/>
          <w:sz w:val="20"/>
        </w:rPr>
        <w:t>Signature : « De l’idée au terrain. »</w:t>
      </w:r>
    </w:p>
    <w:p>
      <w:pPr>
        <w:pStyle w:val="ListBullet"/>
        <w:spacing w:after="40"/>
      </w:pPr>
      <w:r>
        <w:rPr>
          <w:rFonts w:ascii="Aptos" w:hAnsi="Aptos"/>
          <w:color w:val="1E1E1E"/>
          <w:sz w:val="20"/>
        </w:rPr>
        <w:t>Question principale : « Qu’est-ce qu’on met sur le terrain aujourd’hui? »</w:t>
      </w:r>
    </w:p>
    <w:p>
      <w:pPr>
        <w:pStyle w:val="ListBullet"/>
        <w:spacing w:after="40"/>
      </w:pPr>
      <w:r>
        <w:rPr>
          <w:rFonts w:ascii="Aptos" w:hAnsi="Aptos"/>
          <w:color w:val="1E1E1E"/>
          <w:sz w:val="20"/>
        </w:rPr>
        <w:t>Site bilingue, français en premier.</w:t>
      </w:r>
    </w:p>
    <w:p>
      <w:pPr>
        <w:pStyle w:val="ListBullet"/>
        <w:spacing w:after="40"/>
      </w:pPr>
      <w:r>
        <w:rPr>
          <w:rFonts w:ascii="Aptos" w:hAnsi="Aptos"/>
          <w:color w:val="1E1E1E"/>
          <w:sz w:val="20"/>
        </w:rPr>
        <w:t>Direction visuelle : noir, blanc, bleu KO-LAB, moderne, technique, industriel et haut de gamme.</w:t>
      </w:r>
    </w:p>
    <w:p>
      <w:pPr>
        <w:pStyle w:val="ListBullet"/>
        <w:spacing w:after="40"/>
      </w:pPr>
      <w:r>
        <w:rPr>
          <w:rFonts w:ascii="Aptos" w:hAnsi="Aptos"/>
          <w:color w:val="1E1E1E"/>
          <w:sz w:val="20"/>
        </w:rPr>
        <w:t>Peu de texte affiché à la fois; grands visuels et animations sobres.</w:t>
      </w:r>
    </w:p>
    <w:p>
      <w:pPr>
        <w:pStyle w:val="ListBullet"/>
        <w:spacing w:after="40"/>
      </w:pPr>
      <w:r>
        <w:rPr>
          <w:rFonts w:ascii="Aptos" w:hAnsi="Aptos"/>
          <w:color w:val="1E1E1E"/>
          <w:sz w:val="20"/>
        </w:rPr>
        <w:t>Le LAB demeure le nom officiel de la division de développement et fabrication.</w:t>
      </w:r>
    </w:p>
    <w:p>
      <w:pPr>
        <w:pStyle w:val="ListBullet"/>
        <w:spacing w:after="40"/>
      </w:pPr>
      <w:r>
        <w:rPr>
          <w:rFonts w:ascii="Aptos" w:hAnsi="Aptos"/>
          <w:color w:val="1E1E1E"/>
          <w:sz w:val="20"/>
        </w:rPr>
        <w:t>Location redirige d’abord vers Rentman.</w:t>
      </w:r>
    </w:p>
    <w:p>
      <w:pPr>
        <w:pStyle w:val="ListBullet"/>
        <w:spacing w:after="40"/>
      </w:pPr>
      <w:r>
        <w:rPr>
          <w:rFonts w:ascii="Aptos" w:hAnsi="Aptos"/>
          <w:color w:val="1E1E1E"/>
          <w:sz w:val="20"/>
        </w:rPr>
        <w:t>Boutique gérée sur commande au lancement.</w:t>
      </w:r>
    </w:p>
    <w:p>
      <w:pPr>
        <w:pStyle w:val="ListBullet"/>
        <w:spacing w:after="40"/>
      </w:pPr>
      <w:r>
        <w:rPr>
          <w:rFonts w:ascii="Aptos" w:hAnsi="Aptos"/>
          <w:color w:val="1E1E1E"/>
          <w:sz w:val="20"/>
        </w:rPr>
        <w:t>Solutions modulaires préparées mais cachées.</w:t>
      </w:r>
    </w:p>
    <w:tbl>
      <w:tblPr>
        <w:tblW w:type="auto" w:w="0"/>
        <w:jc w:val="center"/>
        <w:tblLayout w:type="autofit"/>
        <w:tblLook w:firstColumn="1" w:firstRow="1" w:lastColumn="0" w:lastRow="0" w:noHBand="0" w:noVBand="1" w:val="04A0"/>
      </w:tblPr>
      <w:tblGrid>
        <w:gridCol w:w="10166"/>
      </w:tblGrid>
      <w:tr>
        <w:tc>
          <w:tcPr>
            <w:tcW w:type="dxa" w:w="10166"/>
            <w:shd w:fill="EAF6FB"/>
            <w:tcBorders>
              <w:top w:val="single" w:sz="10" w:color="61B4DB"/>
              <w:left w:val="single" w:sz="10" w:color="61B4DB"/>
              <w:bottom w:val="single" w:sz="10" w:color="61B4DB"/>
              <w:right w:val="single" w:sz="10" w:color="61B4DB"/>
            </w:tcBorders>
          </w:tcPr>
          <w:p>
            <w:pPr>
              <w:spacing w:after="80"/>
            </w:pPr>
            <w:r>
              <w:rPr>
                <w:rFonts w:ascii="Aptos" w:hAnsi="Aptos"/>
                <w:b/>
                <w:color w:val="1E1E1E"/>
                <w:sz w:val="22"/>
              </w:rPr>
              <w:t>PROCHAINE ÉTAPE</w:t>
            </w:r>
          </w:p>
          <w:p>
            <w:pPr>
              <w:spacing w:after="0"/>
            </w:pPr>
            <w:r>
              <w:rPr>
                <w:rFonts w:ascii="Aptos" w:hAnsi="Aptos"/>
                <w:color w:val="1E1E1E"/>
                <w:sz w:val="20"/>
              </w:rPr>
              <w:t>Une fois l’infrastructure prête, commencer par la page d’accueil. Construire ensuite les pages Opérations terrain, Installations, Le LAB et Équipements une à une, avec validation sur ordinateur et mobile avant de passer à la suivante.</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96"/>
      <w:gridCol w:w="4896"/>
    </w:tblGrid>
    <w:tr>
      <w:tc>
        <w:tcPr>
          <w:tcW w:type="dxa" w:w="4896"/>
        </w:tcPr>
        <w:p>
          <w:r>
            <w:rPr>
              <w:rFonts w:ascii="Aptos" w:hAnsi="Aptos"/>
              <w:color w:val="5A5A5A"/>
              <w:sz w:val="16"/>
            </w:rPr>
            <w:t>KO-LAB INC.  |  Document de travail  |  Confidentiel</w:t>
          </w:r>
        </w:p>
      </w:tc>
      <w:tc>
        <w:tcPr>
          <w:tcW w:type="dxa" w:w="4896"/>
        </w:tcPr>
        <w:p>
          <w:pPr>
            <w:jc w:val="right"/>
          </w:pPr>
          <w:r>
            <w:rPr>
              <w:rFonts w:ascii="Aptos" w:hAnsi="Aptos"/>
              <w:color w:val="5A5A5A"/>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61B4DB"/>
      </w:pBdr>
    </w:pPr>
    <w:r>
      <w:rPr>
        <w:rFonts w:ascii="Aptos Display" w:hAnsi="Aptos Display"/>
        <w:b/>
        <w:color w:val="61B4DB"/>
        <w:sz w:val="26"/>
      </w:rPr>
      <w:t>KO-LAB</w:t>
    </w:r>
    <w:r>
      <w:rPr>
        <w:rFonts w:ascii="Aptos" w:hAnsi="Aptos"/>
        <w:b/>
        <w:color w:val="5A5A5A"/>
        <w:sz w:val="17"/>
      </w:rPr>
      <w:t xml:space="preserve">  |  STRUCTURE DU SITE WEB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E1E1E"/>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E1E1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KO-LAB - Structure du site Web V2</dc:title>
  <dc:subject>Document de cadrage pour la création du nouveau site Web KO-LAB</dc:subject>
  <dc:creator>KO-LAB Inc.</dc:creator>
  <cp:keywords>KO-LAB, site web, structure, architecture, opérations, Le LAB</cp:keywords>
  <dc:description>generated by python-docx</dc:description>
  <cp:lastModifiedBy/>
  <cp:revision>1</cp:revision>
  <dcterms:created xsi:type="dcterms:W3CDTF">2013-12-23T23:15:00Z</dcterms:created>
  <dcterms:modified xsi:type="dcterms:W3CDTF">2013-12-23T23:15:00Z</dcterms:modified>
  <cp:category/>
</cp:coreProperties>
</file>