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CARE 360</w:t>
      </w:r>
    </w:p>
    <w:p>
      <w:pPr>
        <w:spacing w:after="120"/>
      </w:pPr>
      <w:r>
        <w:t xml:space="preserve">Programa de aseguramiento del proceso MIPE</w:t>
      </w:r>
    </w:p>
    <w:p>
      <w:pPr>
        <w:pStyle w:val="Heading1"/>
        <w:keepNext/>
        <w:spacing w:after="120" w:before="240"/>
      </w:pPr>
      <w:r>
        <w:t xml:space="preserve">Informe técnico de visita</w:t>
      </w:r>
    </w:p>
    <w:p>
      <w:pPr>
        <w:spacing w:after="120"/>
      </w:pPr>
      <w:r>
        <w:t xml:space="preserve">Comercializadora Tucan · 2026-09-10 · Rosa Spray</w:t>
      </w:r>
    </w:p>
    <w:p>
      <w:pPr>
        <w:spacing w:after="120"/>
      </w:pPr>
      <w:r>
        <w:t xml:space="preserve">Revisado por el responsable técnico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Mar>
              <w:top w:type="dxa" w:w="100"/>
              <w:left w:type="dxa" w:w="120"/>
              <w:bottom w:type="dxa" w:w="100"/>
              <w:right w:type="dxa" w:w="120"/>
            </w:tcMar>
          </w:tcPr>
          <w:p>
            <w:r>
              <w:t xml:space="preserve">Finca</w:t>
            </w:r>
          </w:p>
        </w:tc>
        <w:tc>
          <w:tcPr>
            <w:tcMar>
              <w:top w:type="dxa" w:w="100"/>
              <w:left w:type="dxa" w:w="120"/>
              <w:bottom w:type="dxa" w:w="100"/>
              <w:right w:type="dxa" w:w="120"/>
            </w:tcMar>
          </w:tcPr>
          <w:p>
            <w:r>
              <w:t xml:space="preserve">Comercializadora Tucan</w:t>
            </w:r>
          </w:p>
        </w:tc>
      </w:tr>
      <w:tr>
        <w:tc>
          <w:tcPr>
            <w:tcMar>
              <w:top w:type="dxa" w:w="100"/>
              <w:left w:type="dxa" w:w="120"/>
              <w:bottom w:type="dxa" w:w="100"/>
              <w:right w:type="dxa" w:w="120"/>
            </w:tcMar>
          </w:tcPr>
          <w:p>
            <w:r>
              <w:t xml:space="preserve">Fecha</w:t>
            </w:r>
          </w:p>
        </w:tc>
        <w:tc>
          <w:tcPr>
            <w:tcMar>
              <w:top w:type="dxa" w:w="100"/>
              <w:left w:type="dxa" w:w="120"/>
              <w:bottom w:type="dxa" w:w="100"/>
              <w:right w:type="dxa" w:w="120"/>
            </w:tcMar>
          </w:tcPr>
          <w:p>
            <w:r>
              <w:t xml:space="preserve">2026-09-10</w:t>
            </w:r>
          </w:p>
        </w:tc>
      </w:tr>
      <w:tr>
        <w:tc>
          <w:tcPr>
            <w:tcMar>
              <w:top w:type="dxa" w:w="100"/>
              <w:left w:type="dxa" w:w="120"/>
              <w:bottom w:type="dxa" w:w="100"/>
              <w:right w:type="dxa" w:w="120"/>
            </w:tcMar>
          </w:tcPr>
          <w:p>
            <w:r>
              <w:t xml:space="preserve">Tipo de cultivo</w:t>
            </w:r>
          </w:p>
        </w:tc>
        <w:tc>
          <w:tcPr>
            <w:tcMar>
              <w:top w:type="dxa" w:w="100"/>
              <w:left w:type="dxa" w:w="120"/>
              <w:bottom w:type="dxa" w:w="100"/>
              <w:right w:type="dxa" w:w="120"/>
            </w:tcMar>
          </w:tcPr>
          <w:p>
            <w:r>
              <w:t xml:space="preserve">Rosa Spray</w:t>
            </w:r>
          </w:p>
        </w:tc>
      </w:tr>
      <w:tr>
        <w:tc>
          <w:tcPr>
            <w:tcMar>
              <w:top w:type="dxa" w:w="100"/>
              <w:left w:type="dxa" w:w="120"/>
              <w:bottom w:type="dxa" w:w="100"/>
              <w:right w:type="dxa" w:w="120"/>
            </w:tcMar>
          </w:tcPr>
          <w:p>
            <w:r>
              <w:t xml:space="preserve">Ciudad / departamento</w:t>
            </w:r>
          </w:p>
        </w:tc>
        <w:tc>
          <w:tcPr>
            <w:tcMar>
              <w:top w:type="dxa" w:w="100"/>
              <w:left w:type="dxa" w:w="120"/>
              <w:bottom w:type="dxa" w:w="100"/>
              <w:right w:type="dxa" w:w="120"/>
            </w:tcMar>
          </w:tcPr>
          <w:p>
            <w:r>
              <w:t xml:space="preserve">Cundinamarca</w:t>
            </w:r>
          </w:p>
        </w:tc>
      </w:tr>
      <w:tr>
        <w:tc>
          <w:tcPr>
            <w:tcMar>
              <w:top w:type="dxa" w:w="100"/>
              <w:left w:type="dxa" w:w="120"/>
              <w:bottom w:type="dxa" w:w="100"/>
              <w:right w:type="dxa" w:w="120"/>
            </w:tcMar>
          </w:tcPr>
          <w:p>
            <w:r>
              <w:t xml:space="preserve">Municipio / zona</w:t>
            </w:r>
          </w:p>
        </w:tc>
        <w:tc>
          <w:tcPr>
            <w:tcMar>
              <w:top w:type="dxa" w:w="100"/>
              <w:left w:type="dxa" w:w="120"/>
              <w:bottom w:type="dxa" w:w="100"/>
              <w:right w:type="dxa" w:w="120"/>
            </w:tcMar>
          </w:tcPr>
          <w:p>
            <w:r>
              <w:t xml:space="preserve">Nemocón, Cundinamarca</w:t>
            </w:r>
          </w:p>
        </w:tc>
      </w:tr>
      <w:tr>
        <w:tc>
          <w:tcPr>
            <w:tcMar>
              <w:top w:type="dxa" w:w="100"/>
              <w:left w:type="dxa" w:w="120"/>
              <w:bottom w:type="dxa" w:w="100"/>
              <w:right w:type="dxa" w:w="120"/>
            </w:tcMar>
          </w:tcPr>
          <w:p>
            <w:r>
              <w:t xml:space="preserve">Representante de la finca</w:t>
            </w:r>
          </w:p>
        </w:tc>
        <w:tc>
          <w:tcPr>
            <w:tcMar>
              <w:top w:type="dxa" w:w="100"/>
              <w:left w:type="dxa" w:w="120"/>
              <w:bottom w:type="dxa" w:w="100"/>
              <w:right w:type="dxa" w:w="120"/>
            </w:tcMar>
          </w:tcPr>
          <w:p>
            <w:r>
              <w:t xml:space="preserve">Viviana Prieto</w:t>
            </w:r>
          </w:p>
        </w:tc>
      </w:tr>
      <w:tr>
        <w:tc>
          <w:tcPr>
            <w:tcMar>
              <w:top w:type="dxa" w:w="100"/>
              <w:left w:type="dxa" w:w="120"/>
              <w:bottom w:type="dxa" w:w="100"/>
              <w:right w:type="dxa" w:w="120"/>
            </w:tcMar>
          </w:tcPr>
          <w:p>
            <w:r>
              <w:t xml:space="preserve">Responsable técnico</w:t>
            </w:r>
          </w:p>
        </w:tc>
        <w:tc>
          <w:tcPr>
            <w:tcMar>
              <w:top w:type="dxa" w:w="100"/>
              <w:left w:type="dxa" w:w="120"/>
              <w:bottom w:type="dxa" w:w="100"/>
              <w:right w:type="dxa" w:w="120"/>
            </w:tcMar>
          </w:tcPr>
          <w:p>
            <w:r>
              <w:t xml:space="preserve">Wilson Castro</w:t>
            </w:r>
          </w:p>
        </w:tc>
      </w:tr>
      <w:tr>
        <w:tc>
          <w:tcPr>
            <w:tcMar>
              <w:top w:type="dxa" w:w="100"/>
              <w:left w:type="dxa" w:w="120"/>
              <w:bottom w:type="dxa" w:w="100"/>
              <w:right w:type="dxa" w:w="120"/>
            </w:tcMar>
          </w:tcPr>
          <w:p>
            <w:r>
              <w:t xml:space="preserve">Representante técnico comercial</w:t>
            </w:r>
          </w:p>
        </w:tc>
        <w:tc>
          <w:tcPr>
            <w:tcMar>
              <w:top w:type="dxa" w:w="100"/>
              <w:left w:type="dxa" w:w="120"/>
              <w:bottom w:type="dxa" w:w="100"/>
              <w:right w:type="dxa" w:w="120"/>
            </w:tcMar>
          </w:tcPr>
          <w:p>
            <w:r>
              <w:t xml:space="preserve">Mónica  Tarazona</w:t>
            </w:r>
          </w:p>
        </w:tc>
      </w:tr>
    </w:tbl>
    <w:p>
      <w:pPr>
        <w:pStyle w:val="Heading1"/>
        <w:keepNext/>
        <w:spacing w:after="120" w:before="240"/>
      </w:pPr>
      <w:r>
        <w:t xml:space="preserve">JUSTIFICACIÓN</w:t>
      </w:r>
    </w:p>
    <w:p>
      <w:pPr>
        <w:spacing w:after="120"/>
      </w:pPr>
      <w:r>
        <w:t xml:space="preserve">El manejo responsable de plaguicidas y productos químicos en la agricultura y floricultura es esencial para salvaguardar la salud humana, preservar los cultivos y proteger el medio ambiente.</w:t>
      </w:r>
    </w:p>
    <w:p>
      <w:pPr>
        <w:spacing w:after="120"/>
      </w:pPr>
      <w:r>
        <w:t xml:space="preserve">Este enfoque requiere una serie de medidas coordinadas como la selección adecuada de productos a aplicar en campo, el entrenamiento al equipo MIPE en todo el proceso de aplicaciones, manejo seguro de plaguicidas y por supuesto el aseguramiento del proceso en sí.</w:t>
      </w:r>
    </w:p>
    <w:p>
      <w:pPr>
        <w:spacing w:after="120"/>
      </w:pPr>
      <w:r>
        <w:t xml:space="preserve">La gestión de plaguicidas y el proceso no es responsabilidad exclusiva del jefe MIPE. Se hace crucial la colaboración y responsabilidad compartida con todos los actores involucrados en el proceso, desde los productores hasta los proveedores de productos.</w:t>
      </w:r>
    </w:p>
    <w:p>
      <w:pPr>
        <w:spacing w:after="120"/>
      </w:pPr>
      <w:r>
        <w:t xml:space="preserve">En línea con nuestra promesa de asistencia y acompañamiento técnico en campo, hemos creado un programa centrado en el aseguramiento y diagnóstico de equipos y procesos de aplicación de productos para la protección de cultivos; contribuyendo a una producción de flores más efectiva, con mayores rendimientos y calidad mejorada.</w:t>
      </w:r>
    </w:p>
    <w:p>
      <w:pPr>
        <w:pStyle w:val="Heading1"/>
        <w:keepNext/>
        <w:spacing w:after="120" w:before="240"/>
      </w:pPr>
      <w:r>
        <w:t xml:space="preserve">OBJETIVO GENERAL</w:t>
      </w:r>
    </w:p>
    <w:p>
      <w:pPr>
        <w:spacing w:after="120"/>
      </w:pPr>
      <w:r>
        <w:t xml:space="preserve">Respaldar a las compañías productoras de flores en el proceso de aspersión y manejo seguro de plaguicidas, brindando acompañamiento y aseguramiento en el paso a paso de la labor. Con el fin de lograr que el uso y manejo de los productos se haga de manera responsable, bajo criterios técnicos, que aseguren el resultado y garanticen la fitosanidad; Contribuyendo de esta manera en la productividad de los cultivos y calidad de su producto final.</w:t>
      </w:r>
    </w:p>
    <w:p>
      <w:pPr>
        <w:pStyle w:val="Heading1"/>
        <w:keepNext/>
        <w:spacing w:after="120" w:before="240"/>
      </w:pPr>
      <w:r>
        <w:t xml:space="preserve">OBJETIVOS ESPECIFICOS</w:t>
      </w:r>
    </w:p>
    <w:p>
      <w:pPr>
        <w:spacing w:after="120"/>
      </w:pPr>
      <w:r>
        <w:t xml:space="preserve">Asegurar que el almacenamiento, la medición, el pesaje y salida de productos desde el almacén, requeridos para el control de plagas y enfermedades se lleve a cabo de manera precisa.</w:t>
      </w:r>
    </w:p>
    <w:p>
      <w:pPr>
        <w:spacing w:after="120"/>
      </w:pPr>
      <w:r>
        <w:t xml:space="preserve">Confirmar que el transporte interno de los productos para el control de plagas y enfermedades se haga de manera segura, para evitar pérdida o deterioro de los mismos y así garantizar el cumplimiento de lo programado.</w:t>
      </w:r>
    </w:p>
    <w:p>
      <w:pPr>
        <w:spacing w:after="120"/>
      </w:pPr>
      <w:r>
        <w:t xml:space="preserve">Validar que se cumple con las recomendaciones para la preparación y orden de mezcla de los plaguicidas, bioinsumos y otras sustancias químicas usados en el control de plagas y enfermedades.</w:t>
      </w:r>
    </w:p>
    <w:p>
      <w:pPr>
        <w:spacing w:after="120"/>
      </w:pPr>
      <w:r>
        <w:t xml:space="preserve">Validar que al momento de la aplicación en campo se cumpla con el objetivo en términos de descarga de mezcla, presión, direccionamiento de equipos y cubrimientos de la aplicación.</w:t>
      </w:r>
    </w:p>
    <w:p>
      <w:pPr>
        <w:pStyle w:val="Heading1"/>
        <w:keepNext/>
        <w:spacing w:after="120" w:before="240"/>
      </w:pPr>
      <w:r>
        <w:t xml:space="preserve">ALCANCE</w:t>
      </w:r>
    </w:p>
    <w:p>
      <w:pPr>
        <w:spacing w:after="120"/>
      </w:pPr>
      <w:r>
        <w:t xml:space="preserve">Fincas productoras de flores y ornamentales.</w:t>
      </w:r>
    </w:p>
    <w:p>
      <w:pPr>
        <w:pStyle w:val="Heading1"/>
        <w:keepNext/>
        <w:spacing w:after="120" w:before="240"/>
      </w:pPr>
      <w:r>
        <w:t xml:space="preserve">METODOLOGIA</w:t>
      </w:r>
    </w:p>
    <w:p>
      <w:pPr>
        <w:spacing w:after="120"/>
      </w:pPr>
      <w:r>
        <w:t xml:space="preserve">La ejecución del programa CARE 360 se realiza acorde con las necesidades y o peticiones de cada finca, a través de una visita técnica por parte del profesional técnico encargado del programa, que permitirá identificar oportunidades de mejora dentro del proceso MIPE.</w:t>
      </w:r>
    </w:p>
    <w:p>
      <w:pPr>
        <w:spacing w:after="120"/>
      </w:pPr>
      <w:r>
        <w:t xml:space="preserve">El aseguramiento tendrá en cuenta los siguientes aspectos dentro de la coordinación y ejecución del programa de aspersión:</w:t>
      </w:r>
    </w:p>
    <w:p>
      <w:pPr>
        <w:spacing w:after="120"/>
      </w:pPr>
      <w:r>
        <w:t xml:space="preserve">Almacenamiento y pesaje.</w:t>
      </w:r>
    </w:p>
    <w:p>
      <w:pPr>
        <w:spacing w:after="120"/>
      </w:pPr>
      <w:r>
        <w:t xml:space="preserve">Dosificación de productos.</w:t>
      </w:r>
    </w:p>
    <w:p>
      <w:pPr>
        <w:spacing w:after="120"/>
      </w:pPr>
      <w:r>
        <w:t xml:space="preserve">Transporte interno.</w:t>
      </w:r>
    </w:p>
    <w:p>
      <w:pPr>
        <w:spacing w:after="120"/>
      </w:pPr>
      <w:r>
        <w:t xml:space="preserve">Preparación de las mezclas.</w:t>
      </w:r>
    </w:p>
    <w:p>
      <w:pPr>
        <w:spacing w:after="120"/>
      </w:pPr>
      <w:r>
        <w:t xml:space="preserve">Técnica y calidad de la aplicación</w:t>
      </w:r>
    </w:p>
    <w:p>
      <w:pPr>
        <w:spacing w:after="120"/>
      </w:pPr>
      <w:r>
        <w:t xml:space="preserve">Desde la asistencia técnica en campo y en línea con los puntos a mejorar dentro del aseguramiento, se plantearán unas recomendaciones que pueden ser o no implementadas por la finca que está recibiendo este acompañamiento.</w:t>
      </w:r>
    </w:p>
    <w:p>
      <w:pPr>
        <w:spacing w:after="120"/>
      </w:pPr>
      <w:r>
        <w:t xml:space="preserve">Posterior al primer aseguramiento y si la finca lo considera, se realizará una segunda visita para validar que las recomendaciones puestas en práctica estén dando el resultado esperado.</w:t>
      </w:r>
    </w:p>
    <w:p>
      <w:pPr>
        <w:spacing w:after="120"/>
      </w:pPr>
      <w:r>
        <w:t xml:space="preserve">Con el fin de garantizar la calidad del programa CARE 360. La persona encargada de las visitas en campo cuenta con las herramientas y elementos de protección personal requeridos.</w:t>
      </w:r>
    </w:p>
    <w:p>
      <w:pPr>
        <w:pStyle w:val="Heading1"/>
        <w:keepNext/>
        <w:spacing w:after="120" w:before="240"/>
      </w:pPr>
      <w:r>
        <w:t xml:space="preserve">Cronograma de actividades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Mar>
              <w:top w:type="dxa" w:w="100"/>
              <w:left w:type="dxa" w:w="120"/>
              <w:bottom w:type="dxa" w:w="100"/>
              <w:right w:type="dxa" w:w="120"/>
            </w:tcMar>
          </w:tcPr>
          <w:p>
            <w:r>
              <w:t xml:space="preserve">Visita y aseguramiento</w:t>
            </w:r>
          </w:p>
        </w:tc>
        <w:tc>
          <w:tcPr>
            <w:tcMar>
              <w:top w:type="dxa" w:w="100"/>
              <w:left w:type="dxa" w:w="120"/>
              <w:bottom w:type="dxa" w:w="100"/>
              <w:right w:type="dxa" w:w="120"/>
            </w:tcMar>
          </w:tcPr>
          <w:p>
            <w:r>
              <w:t xml:space="preserve">2026-09-10</w:t>
            </w:r>
          </w:p>
        </w:tc>
      </w:tr>
      <w:tr>
        <w:tc>
          <w:tcPr>
            <w:tcMar>
              <w:top w:type="dxa" w:w="100"/>
              <w:left w:type="dxa" w:w="120"/>
              <w:bottom w:type="dxa" w:w="100"/>
              <w:right w:type="dxa" w:w="120"/>
            </w:tcMar>
          </w:tcPr>
          <w:p>
            <w:r>
              <w:t xml:space="preserve">Entrega del informe</w:t>
            </w:r>
          </w:p>
        </w:tc>
        <w:tc>
          <w:tcPr>
            <w:tcMar>
              <w:top w:type="dxa" w:w="100"/>
              <w:left w:type="dxa" w:w="120"/>
              <w:bottom w:type="dxa" w:w="100"/>
              <w:right w:type="dxa" w:w="120"/>
            </w:tcMar>
          </w:tcPr>
          <w:p>
            <w:r>
              <w:t xml:space="preserve">2026-09-17</w:t>
            </w:r>
          </w:p>
        </w:tc>
      </w:tr>
      <w:tr>
        <w:tc>
          <w:tcPr>
            <w:tcMar>
              <w:top w:type="dxa" w:w="100"/>
              <w:left w:type="dxa" w:w="120"/>
              <w:bottom w:type="dxa" w:w="100"/>
              <w:right w:type="dxa" w:w="120"/>
            </w:tcMar>
          </w:tcPr>
          <w:p>
            <w:r>
              <w:t xml:space="preserve">Seguimiento</w:t>
            </w:r>
          </w:p>
        </w:tc>
        <w:tc>
          <w:tcPr>
            <w:tcMar>
              <w:top w:type="dxa" w:w="100"/>
              <w:left w:type="dxa" w:w="120"/>
              <w:bottom w:type="dxa" w:w="100"/>
              <w:right w:type="dxa" w:w="120"/>
            </w:tcMar>
          </w:tcPr>
          <w:p>
            <w:r>
              <w:t xml:space="preserve">No programado</w:t>
            </w:r>
          </w:p>
        </w:tc>
      </w:tr>
    </w:tbl>
    <w:p>
      <w:pPr>
        <w:pStyle w:val="Heading1"/>
        <w:keepNext/>
        <w:spacing w:after="120" w:before="240"/>
      </w:pPr>
      <w:r>
        <w:t xml:space="preserve">Indicador de la visita</w:t>
      </w:r>
    </w:p>
    <w:p>
      <w:pPr>
        <w:spacing w:after="120"/>
      </w:pPr>
      <w:r>
        <w:t xml:space="preserve">Crítico · 45%. 9 respuestas “Sí” de 20 criterios aplicables; 11 hallazgos por corregir.</w:t>
      </w:r>
    </w:p>
    <w:p>
      <w:pPr>
        <w:pStyle w:val="Heading1"/>
        <w:keepNext/>
        <w:spacing w:after="120" w:before="240"/>
      </w:pPr>
      <w:r>
        <w:t xml:space="preserve">Alcance de la evaluación</w:t>
      </w:r>
    </w:p>
    <w:p>
      <w:pPr>
        <w:spacing w:after="120"/>
      </w:pPr>
      <w:r>
        <w:t xml:space="preserve">25 de 25 criterios respondidos. 11 respuestas “No cumple” en los capítulos con cuestionario.</w:t>
      </w:r>
    </w:p>
    <w:p>
      <w:pPr>
        <w:spacing w:after="120"/>
      </w:pPr>
      <w:r>
        <w:t xml:space="preserve">Capítulos no evaluados: 1. Almacén e inventarios de PPC; 2. Medición y dosificación de PPC.</w:t>
      </w:r>
    </w:p>
    <w:p>
      <w:pPr>
        <w:pStyle w:val="Heading1"/>
        <w:keepNext/>
        <w:spacing w:after="120" w:before="240"/>
      </w:pPr>
      <w:r>
        <w:t xml:space="preserve">Capítulo 3. Transporte interno de PPC</w:t>
      </w:r>
    </w:p>
    <w:p>
      <w:pPr>
        <w:pStyle w:val="Heading2"/>
        <w:keepNext/>
        <w:spacing w:after="120" w:before="240"/>
      </w:pPr>
      <w:r>
        <w:t xml:space="preserve">3.1 · No cumple</w:t>
      </w:r>
    </w:p>
    <w:p>
      <w:pPr>
        <w:spacing w:after="120"/>
      </w:pPr>
      <w:r>
        <w:t xml:space="preserve">La persona que recibe los productos cuenta con los elementos de protección personal.</w:t>
      </w:r>
    </w:p>
    <w:p>
      <w:pPr>
        <w:spacing w:after="120"/>
      </w:pPr>
      <w:r>
        <w:t xml:space="preserve">Hallazgo / observación: Este punto esta pendiente por revisar.</w:t>
      </w:r>
    </w:p>
    <w:p>
      <w:pPr>
        <w:spacing w:after="120"/>
      </w:pPr>
      <w:r>
        <w:t xml:space="preserve">Recomendación: Corregir el incumplimiento identificado en 3.1, documentar la acción realizada y verificar su cierre en la próxima visita.</w:t>
      </w:r>
    </w:p>
    <w:p>
      <w:pPr>
        <w:pStyle w:val="Heading2"/>
        <w:keepNext/>
        <w:spacing w:after="120" w:before="240"/>
      </w:pPr>
      <w:r>
        <w:t xml:space="preserve">3.2 · No cumple</w:t>
      </w:r>
    </w:p>
    <w:p>
      <w:pPr>
        <w:spacing w:after="120"/>
      </w:pPr>
      <w:r>
        <w:t xml:space="preserve">La persona que recibe los productos verifica lo entregado vs el programa de aspersión.</w:t>
      </w:r>
    </w:p>
    <w:p>
      <w:pPr>
        <w:spacing w:after="120"/>
      </w:pPr>
      <w:r>
        <w:t xml:space="preserve">Hallazgo / observación: Este punto esta pendiente por revisar.</w:t>
      </w:r>
    </w:p>
    <w:p>
      <w:pPr>
        <w:spacing w:after="120"/>
      </w:pPr>
      <w:r>
        <w:t xml:space="preserve">Recomendación: Corregir el incumplimiento identificado en 3.2, documentar la acción realizada y verificar su cierre en la próxima visita.</w:t>
      </w:r>
    </w:p>
    <w:p>
      <w:pPr>
        <w:pStyle w:val="Heading2"/>
        <w:keepNext/>
        <w:spacing w:after="120" w:before="240"/>
      </w:pPr>
      <w:r>
        <w:t xml:space="preserve">3.3 · No cumple</w:t>
      </w:r>
    </w:p>
    <w:p>
      <w:pPr>
        <w:spacing w:after="120"/>
      </w:pPr>
      <w:r>
        <w:t xml:space="preserve">Los productos son transportados en un vehiculo seguro y señalizado hasta el lugar de preparación de la mezcla.</w:t>
      </w:r>
    </w:p>
    <w:p>
      <w:pPr>
        <w:spacing w:after="120"/>
      </w:pPr>
      <w:r>
        <w:t xml:space="preserve">Hallazgo / observación: No dejan bajo llave  los productos dentro del vehículo de transporte interno  PPCS.</w:t>
      </w:r>
    </w:p>
    <w:p>
      <w:pPr>
        <w:spacing w:after="120"/>
      </w:pPr>
      <w:r>
        <w:t xml:space="preserve">Recomendación: Corregir el incumplimiento identificado en 3.3, documentar la acción realizada y verificar su cierre en la próxima visita.</w:t>
      </w:r>
    </w:p>
    <w:p>
      <w:pPr>
        <w:pStyle w:val="Heading2"/>
        <w:keepNext/>
        <w:spacing w:after="120" w:before="240"/>
      </w:pPr>
      <w:r>
        <w:t xml:space="preserve">3.4 · No cumple</w:t>
      </w:r>
    </w:p>
    <w:p>
      <w:pPr>
        <w:spacing w:after="120"/>
      </w:pPr>
      <w:r>
        <w:t xml:space="preserve">El vehiculo de transporte interno cuenta con kit de derrames.</w:t>
      </w:r>
    </w:p>
    <w:p>
      <w:pPr>
        <w:spacing w:after="120"/>
      </w:pPr>
      <w:r>
        <w:t xml:space="preserve">Hallazgo / observación: Se evidencia en campo qué el vehículo de trasporte no cuenta con el kit   de derrames.</w:t>
      </w:r>
    </w:p>
    <w:p>
      <w:pPr>
        <w:spacing w:after="120"/>
      </w:pPr>
      <w:r>
        <w:t xml:space="preserve">Recomendación: Corregir el incumplimiento identificado en 3.4, documentar la acción realizada y verificar su cierre en la próxima visita.</w:t>
      </w:r>
    </w:p>
    <w:p>
      <w:pPr>
        <w:pStyle w:val="Heading1"/>
        <w:keepNext/>
        <w:spacing w:after="120" w:before="240"/>
      </w:pPr>
      <w:r>
        <w:t xml:space="preserve">Capítulo 4. Preparación de mezclas</w:t>
      </w:r>
    </w:p>
    <w:p>
      <w:pPr>
        <w:pStyle w:val="Heading2"/>
        <w:keepNext/>
        <w:spacing w:after="120" w:before="240"/>
      </w:pPr>
      <w:r>
        <w:t xml:space="preserve">4.1 · No aplica</w:t>
      </w:r>
    </w:p>
    <w:p>
      <w:pPr>
        <w:spacing w:after="120"/>
      </w:pPr>
      <w:r>
        <w:t xml:space="preserve">Si el producto no se pesa en almacen, se cuenta en campo con los equipos necesarios y en buen estado para la dosificación acorde a la programación.</w:t>
      </w:r>
    </w:p>
    <w:p>
      <w:pPr>
        <w:spacing w:after="120"/>
      </w:pPr>
      <w:r>
        <w:t xml:space="preserve">Hallazgo / observación: Todos los productos salen dosificados desde el almacén de agroquímicos. </w:t>
      </w:r>
    </w:p>
    <w:p>
      <w:pPr>
        <w:pStyle w:val="Heading2"/>
        <w:keepNext/>
        <w:spacing w:after="120" w:before="240"/>
      </w:pPr>
      <w:r>
        <w:t xml:space="preserve">4.2 · Sí cumple</w:t>
      </w:r>
    </w:p>
    <w:p>
      <w:pPr>
        <w:spacing w:after="120"/>
      </w:pPr>
      <w:r>
        <w:t xml:space="preserve">El bombero cuenta con el programa de fumigación.</w:t>
      </w:r>
    </w:p>
    <w:p>
      <w:pPr>
        <w:spacing w:after="120"/>
      </w:pPr>
      <w:r>
        <w:t xml:space="preserve">Hallazgo / observación: El bombero cuenta con el programa de fumigación en el cultivo para preparar las mezclas, sin embargo  se recomienda colcar la cantidad del volumen de agua en la que debe preparar los producto, teniendo en cuenta el número de tanques a preparar.</w:t>
      </w:r>
    </w:p>
    <w:p>
      <w:pPr>
        <w:pStyle w:val="Heading2"/>
        <w:keepNext/>
        <w:spacing w:after="120" w:before="240"/>
      </w:pPr>
      <w:r>
        <w:t xml:space="preserve">4.3 · Sí cumple</w:t>
      </w:r>
    </w:p>
    <w:p>
      <w:pPr>
        <w:spacing w:after="120"/>
      </w:pPr>
      <w:r>
        <w:t xml:space="preserve">El bombero cuenta con los elementos de protección personal.</w:t>
      </w:r>
    </w:p>
    <w:p>
      <w:pPr>
        <w:spacing w:after="120"/>
      </w:pPr>
      <w:r>
        <w:t xml:space="preserve">Hallazgo / observación: Su encapo que el bombero cuenta con todos los implementos de protección personal para la labor que realiza</w:t>
      </w:r>
    </w:p>
    <w:p>
      <w:pPr>
        <w:pStyle w:val="Heading2"/>
        <w:keepNext/>
        <w:spacing w:after="120" w:before="240"/>
      </w:pPr>
      <w:r>
        <w:t xml:space="preserve">4.4 · No cumple</w:t>
      </w:r>
    </w:p>
    <w:p>
      <w:pPr>
        <w:spacing w:after="120"/>
      </w:pPr>
      <w:r>
        <w:t xml:space="preserve">Los tanques de preparación estan debidamente aforados.</w:t>
      </w:r>
    </w:p>
    <w:p>
      <w:pPr>
        <w:spacing w:after="120"/>
      </w:pPr>
      <w:r>
        <w:t xml:space="preserve">Hallazgo / observación: Se evidencia en campo que la regleta con la que miden el volumen de llenado los tanques no cumple ya que la regleta está rota  y no es confiable la medición que aparece </w:t>
      </w:r>
    </w:p>
    <w:p>
      <w:pPr>
        <w:spacing w:after="120"/>
      </w:pPr>
      <w:r>
        <w:t xml:space="preserve">Recomendación: Corregir el incumplimiento identificado en 4.4, documentar la acción realizada y verificar su cierre en la próxima visita.</w:t>
      </w:r>
    </w:p>
    <w:p>
      <w:pPr>
        <w:pStyle w:val="Heading2"/>
        <w:keepNext/>
        <w:spacing w:after="120" w:before="240"/>
      </w:pPr>
      <w:r>
        <w:t xml:space="preserve">4.5 · No aplica</w:t>
      </w:r>
    </w:p>
    <w:p>
      <w:pPr>
        <w:spacing w:after="120"/>
      </w:pPr>
      <w:r>
        <w:t xml:space="preserve">El tanque cuenta con agitación que permita la homogeneidad de la mezcla al momento de la aplicación</w:t>
      </w:r>
    </w:p>
    <w:p>
      <w:pPr>
        <w:pStyle w:val="Heading2"/>
        <w:keepNext/>
        <w:spacing w:after="120" w:before="240"/>
      </w:pPr>
      <w:r>
        <w:t xml:space="preserve">4.6 · Sí cumple</w:t>
      </w:r>
    </w:p>
    <w:p>
      <w:pPr>
        <w:spacing w:after="120"/>
      </w:pPr>
      <w:r>
        <w:t xml:space="preserve">La calidad del agua cuenta con los parametros adecuados para la aplicación (dureza &lt;70ppm - pH: 5.5-6-5). **Es probable que se manejen por debajo de este estandar**</w:t>
      </w:r>
    </w:p>
    <w:p>
      <w:pPr>
        <w:pStyle w:val="Heading2"/>
        <w:keepNext/>
        <w:spacing w:after="120" w:before="240"/>
      </w:pPr>
      <w:r>
        <w:t xml:space="preserve">4.7 · Sí cumple</w:t>
      </w:r>
    </w:p>
    <w:p>
      <w:pPr>
        <w:spacing w:after="120"/>
      </w:pPr>
      <w:r>
        <w:t xml:space="preserve">Se realiza debidamente la premezcla de los ppc´s.</w:t>
      </w:r>
    </w:p>
    <w:p>
      <w:pPr>
        <w:pStyle w:val="Heading2"/>
        <w:keepNext/>
        <w:spacing w:after="120" w:before="240"/>
      </w:pPr>
      <w:r>
        <w:t xml:space="preserve">4.8 · Sí cumple</w:t>
      </w:r>
    </w:p>
    <w:p>
      <w:pPr>
        <w:spacing w:after="120"/>
      </w:pPr>
      <w:r>
        <w:t xml:space="preserve">El orden de mezcla se realiza adecuadamente (Corrector de dureza y pH en caso de requerirse, coadyuvantes, solidos (polvos mojables, granulos dispersables, polvos solubles) y liquidos de mayor a menor densidad (suspensiones concentradas, concentrados emulsionables, liquidos solubles)).</w:t>
      </w:r>
    </w:p>
    <w:p>
      <w:pPr>
        <w:pStyle w:val="Heading2"/>
        <w:keepNext/>
        <w:spacing w:after="120" w:before="240"/>
      </w:pPr>
      <w:r>
        <w:t xml:space="preserve">4.9 · Sí cumple</w:t>
      </w:r>
    </w:p>
    <w:p>
      <w:pPr>
        <w:spacing w:after="120"/>
      </w:pPr>
      <w:r>
        <w:t xml:space="preserve">Se realiza triple lavado a cada contenedor y su contenido es depositado en el tanque de mezcla asegurando que los envases originles se perforen y se lleven a centro de acopio</w:t>
      </w:r>
    </w:p>
    <w:p>
      <w:pPr>
        <w:pStyle w:val="Heading2"/>
        <w:keepNext/>
        <w:spacing w:after="120" w:before="240"/>
      </w:pPr>
      <w:r>
        <w:t xml:space="preserve">4.10 · No aplica</w:t>
      </w:r>
    </w:p>
    <w:p>
      <w:pPr>
        <w:spacing w:after="120"/>
      </w:pPr>
      <w:r>
        <w:t xml:space="preserve">Se verifica dureza y pH de mezcla final para corregir en caso de ser necesario.</w:t>
      </w:r>
    </w:p>
    <w:p>
      <w:pPr>
        <w:pStyle w:val="Heading2"/>
        <w:keepNext/>
        <w:spacing w:after="120" w:before="240"/>
      </w:pPr>
      <w:r>
        <w:t xml:space="preserve">4.6 Calidad del agua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Mar>
              <w:top w:type="dxa" w:w="100"/>
              <w:left w:type="dxa" w:w="120"/>
              <w:bottom w:type="dxa" w:w="100"/>
              <w:right w:type="dxa" w:w="120"/>
            </w:tcMar>
          </w:tcPr>
          <w:p>
            <w:r>
              <w:t xml:space="preserve">pH del agua</w:t>
            </w:r>
          </w:p>
        </w:tc>
        <w:tc>
          <w:tcPr>
            <w:tcMar>
              <w:top w:type="dxa" w:w="100"/>
              <w:left w:type="dxa" w:w="120"/>
              <w:bottom w:type="dxa" w:w="100"/>
              <w:right w:type="dxa" w:w="120"/>
            </w:tcMar>
          </w:tcPr>
          <w:p>
            <w:r>
              <w:t xml:space="preserve">5.8</w:t>
            </w:r>
          </w:p>
        </w:tc>
      </w:tr>
      <w:tr>
        <w:tc>
          <w:tcPr>
            <w:tcMar>
              <w:top w:type="dxa" w:w="100"/>
              <w:left w:type="dxa" w:w="120"/>
              <w:bottom w:type="dxa" w:w="100"/>
              <w:right w:type="dxa" w:w="120"/>
            </w:tcMar>
          </w:tcPr>
          <w:p>
            <w:r>
              <w:t xml:space="preserve">Dureza (ppm)</w:t>
            </w:r>
          </w:p>
        </w:tc>
        <w:tc>
          <w:tcPr>
            <w:tcMar>
              <w:top w:type="dxa" w:w="100"/>
              <w:left w:type="dxa" w:w="120"/>
              <w:bottom w:type="dxa" w:w="100"/>
              <w:right w:type="dxa" w:w="120"/>
            </w:tcMar>
          </w:tcPr>
          <w:p>
            <w:r>
              <w:t xml:space="preserve">&lt;50 </w:t>
            </w:r>
          </w:p>
        </w:tc>
      </w:tr>
      <w:tr>
        <w:tc>
          <w:tcPr>
            <w:tcMar>
              <w:top w:type="dxa" w:w="100"/>
              <w:left w:type="dxa" w:w="120"/>
              <w:bottom w:type="dxa" w:w="100"/>
              <w:right w:type="dxa" w:w="120"/>
            </w:tcMar>
          </w:tcPr>
          <w:p>
            <w:r>
              <w:t xml:space="preserve">Conductividad</w:t>
            </w:r>
          </w:p>
        </w:tc>
        <w:tc>
          <w:tcPr>
            <w:tcMar>
              <w:top w:type="dxa" w:w="100"/>
              <w:left w:type="dxa" w:w="120"/>
              <w:bottom w:type="dxa" w:w="100"/>
              <w:right w:type="dxa" w:w="120"/>
            </w:tcMar>
          </w:tcPr>
          <w:p>
            <w:r>
              <w:t xml:space="preserve">0.25 mS/cm</w:t>
            </w:r>
          </w:p>
        </w:tc>
      </w:tr>
    </w:tbl>
    <w:p>
      <w:pPr>
        <w:pStyle w:val="Heading2"/>
        <w:keepNext/>
        <w:spacing w:after="120" w:before="240"/>
      </w:pPr>
      <w:r>
        <w:t xml:space="preserve">4.6 Mezcla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Mar>
              <w:top w:type="dxa" w:w="100"/>
              <w:left w:type="dxa" w:w="120"/>
              <w:bottom w:type="dxa" w:w="100"/>
              <w:right w:type="dxa" w:w="120"/>
            </w:tcMar>
          </w:tcPr>
          <w:p>
            <w:r>
              <w:t xml:space="preserve">pH mezcla final</w:t>
            </w:r>
          </w:p>
        </w:tc>
        <w:tc>
          <w:tcPr>
            <w:tcMar>
              <w:top w:type="dxa" w:w="100"/>
              <w:left w:type="dxa" w:w="120"/>
              <w:bottom w:type="dxa" w:w="100"/>
              <w:right w:type="dxa" w:w="120"/>
            </w:tcMar>
          </w:tcPr>
          <w:p>
            <w:r>
              <w:t xml:space="preserve">88</w:t>
            </w:r>
          </w:p>
        </w:tc>
      </w:tr>
      <w:tr>
        <w:tc>
          <w:tcPr>
            <w:tcMar>
              <w:top w:type="dxa" w:w="100"/>
              <w:left w:type="dxa" w:w="120"/>
              <w:bottom w:type="dxa" w:w="100"/>
              <w:right w:type="dxa" w:w="120"/>
            </w:tcMar>
          </w:tcPr>
          <w:p>
            <w:r>
              <w:t xml:space="preserve">Conductividad mezcla final</w:t>
            </w:r>
          </w:p>
        </w:tc>
        <w:tc>
          <w:tcPr>
            <w:tcMar>
              <w:top w:type="dxa" w:w="100"/>
              <w:left w:type="dxa" w:w="120"/>
              <w:bottom w:type="dxa" w:w="100"/>
              <w:right w:type="dxa" w:w="120"/>
            </w:tcMar>
          </w:tcPr>
          <w:p>
            <w:r>
              <w:t xml:space="preserve">44</w:t>
            </w:r>
          </w:p>
        </w:tc>
      </w:tr>
    </w:tbl>
    <w:p>
      <w:pPr>
        <w:pStyle w:val="Heading1"/>
        <w:keepNext/>
        <w:spacing w:after="120" w:before="240"/>
      </w:pPr>
      <w:r>
        <w:t xml:space="preserve">Capítulo 5. Aplicación de PPC en campo</w:t>
      </w:r>
    </w:p>
    <w:p>
      <w:pPr>
        <w:pStyle w:val="Heading2"/>
        <w:keepNext/>
        <w:spacing w:after="120" w:before="240"/>
      </w:pPr>
      <w:r>
        <w:t xml:space="preserve">5.1 · No cumple</w:t>
      </w:r>
    </w:p>
    <w:p>
      <w:pPr>
        <w:spacing w:after="120"/>
      </w:pPr>
      <w:r>
        <w:t xml:space="preserve">Se tiene en cuenta la presión de salida de la bomba al momento de la aplicación</w:t>
      </w:r>
    </w:p>
    <w:p>
      <w:pPr>
        <w:spacing w:after="120"/>
      </w:pPr>
      <w:r>
        <w:t xml:space="preserve">Hallazgo / observación: El supervisor no tiene Claridad qué precio debe manejar en el implemento de aplicación, en la bomba de fumigación manejan una presión 10 bares,  lo que equivale a 145 PSI y en la salida del implemento de aplicación la presión es de  60 PSI.</w:t>
      </w:r>
    </w:p>
    <w:p>
      <w:pPr>
        <w:spacing w:after="120"/>
      </w:pPr>
      <w:r>
        <w:t xml:space="preserve">Recomendación: Corregir el incumplimiento identificado en 5.1, documentar la acción realizada y verificar su cierre en la próxima visita.</w:t>
      </w:r>
    </w:p>
    <w:p>
      <w:pPr>
        <w:pStyle w:val="Heading2"/>
        <w:keepNext/>
        <w:spacing w:after="120" w:before="240"/>
      </w:pPr>
      <w:r>
        <w:t xml:space="preserve">5.2 · No cumple</w:t>
      </w:r>
    </w:p>
    <w:p>
      <w:pPr>
        <w:spacing w:after="120"/>
      </w:pPr>
      <w:r>
        <w:t xml:space="preserve">¿Se realiza aforo de boquillas? ¿Cuál es la frecuencia?</w:t>
      </w:r>
    </w:p>
    <w:p>
      <w:pPr>
        <w:spacing w:after="120"/>
      </w:pPr>
      <w:r>
        <w:t xml:space="preserve">Hallazgo / observación: No se evidenció a foros recientes de los implementos de aplicación.</w:t>
      </w:r>
    </w:p>
    <w:p>
      <w:pPr>
        <w:spacing w:after="120"/>
      </w:pPr>
      <w:r>
        <w:t xml:space="preserve">Recomendación: Corregir el incumplimiento identificado en 5.2, documentar la acción realizada y verificar su cierre en la próxima visita.( Se debe realizar el aforo de los implementos de aplicación).</w:t>
      </w:r>
    </w:p>
    <w:p>
      <w:pPr>
        <w:pStyle w:val="Heading2"/>
        <w:keepNext/>
        <w:spacing w:after="120" w:before="240"/>
      </w:pPr>
      <w:r>
        <w:t xml:space="preserve">5.3 · No cumple</w:t>
      </w:r>
    </w:p>
    <w:p>
      <w:pPr>
        <w:spacing w:after="120"/>
      </w:pPr>
      <w:r>
        <w:t xml:space="preserve">Los implemetos de aspersión se encuentran limpios, en buen estado y sin fugas o taponamientos  (bomba, mangueras, mangos filtros, boquillas, aguilones, lanzas etc.)</w:t>
      </w:r>
    </w:p>
    <w:p>
      <w:pPr>
        <w:spacing w:after="120"/>
      </w:pPr>
      <w:r>
        <w:t xml:space="preserve">Hallazgo / observación: Se evidenciaron boquillas que sobrepasan el 10% de desfase Por lo cual las boquillas están para cambio.</w:t>
      </w:r>
    </w:p>
    <w:p>
      <w:pPr>
        <w:spacing w:after="120"/>
      </w:pPr>
      <w:r>
        <w:t xml:space="preserve">Recomendación: Corregir el incumplimiento identificado en 5.3, documentar la acción realizada y verificar su cierre en la próxima visita.(cambiar boquillas desfasados)</w:t>
      </w:r>
    </w:p>
    <w:p>
      <w:pPr>
        <w:pStyle w:val="Heading2"/>
        <w:keepNext/>
        <w:spacing w:after="120" w:before="240"/>
      </w:pPr>
      <w:r>
        <w:t xml:space="preserve">5.4 · No aplica</w:t>
      </w:r>
    </w:p>
    <w:p>
      <w:pPr>
        <w:spacing w:after="120"/>
      </w:pPr>
      <w:r>
        <w:t xml:space="preserve">Se tiene en cuenta y se registra temperatura y humedad relativa al momento de realizar la aplicación.</w:t>
      </w:r>
    </w:p>
    <w:p>
      <w:pPr>
        <w:pStyle w:val="Heading2"/>
        <w:keepNext/>
        <w:spacing w:after="120" w:before="240"/>
      </w:pPr>
      <w:r>
        <w:t xml:space="preserve">5.5 · Sí cumple</w:t>
      </w:r>
    </w:p>
    <w:p>
      <w:pPr>
        <w:spacing w:after="120"/>
      </w:pPr>
      <w:r>
        <w:t xml:space="preserve">La cuadrilla de aplicadores cuentan con los epp's requeridos para la labor y se usan adecuadamente</w:t>
      </w:r>
    </w:p>
    <w:p>
      <w:pPr>
        <w:pStyle w:val="Heading2"/>
        <w:keepNext/>
        <w:spacing w:after="120" w:before="240"/>
      </w:pPr>
      <w:r>
        <w:t xml:space="preserve">5.6 · No cumple</w:t>
      </w:r>
    </w:p>
    <w:p>
      <w:pPr>
        <w:spacing w:after="120"/>
      </w:pPr>
      <w:r>
        <w:t xml:space="preserve">Antes de comenzar la aplicación la cuadrilla recibe instrucciones respecto a la misma  (productos a aplicar, blancos biologicos, tiempo por cama, volumen y tecnica de aplicación).</w:t>
      </w:r>
    </w:p>
    <w:p>
      <w:pPr>
        <w:spacing w:after="120"/>
      </w:pPr>
      <w:r>
        <w:t xml:space="preserve">Hallazgo / observación: El tiempo de recorrió por cama que le dan a los asperjadores para aplicar el volumen programado no coincide con la descarga del implemento de aplicación versus el volumen programado.</w:t>
      </w:r>
    </w:p>
    <w:p>
      <w:pPr>
        <w:spacing w:after="120"/>
      </w:pPr>
      <w:r>
        <w:t xml:space="preserve">Recomendación: Corregir el incumplimiento identificado en 5.6, documentar la acción realizada y verificar su cierre en la próxima visita.</w:t>
      </w:r>
    </w:p>
    <w:p>
      <w:pPr>
        <w:pStyle w:val="Heading2"/>
        <w:keepNext/>
        <w:spacing w:after="120" w:before="240"/>
      </w:pPr>
      <w:r>
        <w:t xml:space="preserve">5.7 · No cumple</w:t>
      </w:r>
    </w:p>
    <w:p>
      <w:pPr>
        <w:spacing w:after="120"/>
      </w:pPr>
      <w:r>
        <w:t xml:space="preserve">La tecnica de aplicación (tiempos por cama, direccionamiento de equipos, presión de salida, cubrimientos etc) esta acorde con lo programado.</w:t>
      </w:r>
    </w:p>
    <w:p>
      <w:pPr>
        <w:spacing w:after="120"/>
      </w:pPr>
      <w:r>
        <w:t xml:space="preserve">Hallazgo / observación: La aplicación se realizó con aguilón de nueve salidas los litros programados por cama fueron 10, la descarga promedio del aguilón está en 7.7 con una presión de 60 PSI de acuerdo a esa descarga deberían gastar 78 segundos por cama los asperejadores y el tiempo real que están gastando son 60 Segundos.</w:t>
      </w:r>
    </w:p>
    <w:p>
      <w:pPr>
        <w:spacing w:after="120"/>
      </w:pPr>
      <w:r>
        <w:t xml:space="preserve">Recomendación: Corregir el incumplimiento identificado en 5.7, documentar la acción realizada y verificar su cierre en la próxima visita.</w:t>
      </w:r>
    </w:p>
    <w:p>
      <w:pPr>
        <w:pStyle w:val="Heading2"/>
        <w:keepNext/>
        <w:spacing w:after="120" w:before="240"/>
      </w:pPr>
      <w:r>
        <w:t xml:space="preserve">5.8 · Sí cumple</w:t>
      </w:r>
    </w:p>
    <w:p>
      <w:pPr>
        <w:spacing w:after="120"/>
      </w:pPr>
      <w:r>
        <w:t xml:space="preserve">El area tratada esta cerrada y tiene tablero de identificación que contenga la información de los ppc's aplicados y horas de reingreso</w:t>
      </w:r>
    </w:p>
    <w:p>
      <w:pPr>
        <w:pStyle w:val="Heading2"/>
        <w:keepNext/>
        <w:spacing w:after="120" w:before="240"/>
      </w:pPr>
      <w:r>
        <w:t xml:space="preserve">5.9 · No cumple</w:t>
      </w:r>
    </w:p>
    <w:p>
      <w:pPr>
        <w:spacing w:after="120"/>
      </w:pPr>
      <w:r>
        <w:t xml:space="preserve">Si sobra o falta producto en la aplicación se informa al ingeniero MIPE y se hace dosificación del producto faltante para completar la aplicación</w:t>
      </w:r>
    </w:p>
    <w:p>
      <w:pPr>
        <w:spacing w:after="120"/>
      </w:pPr>
      <w:r>
        <w:t xml:space="preserve">Hallazgo / observación: Se evidencia en campo que deben repetir cama los asperjadores ya que el tiempo que gastan por cama es menor al que realmente deben gastar, es decir están gastando 18 segundos menos por entrada razón por la cual sobra producto.</w:t>
      </w:r>
    </w:p>
    <w:p>
      <w:pPr>
        <w:spacing w:after="120"/>
      </w:pPr>
      <w:r>
        <w:t xml:space="preserve">Recomendación: Corregir el incumplimiento identificado en 5.9, documentar la acción realizada y verificar su cierre en la próxima visita.</w:t>
      </w:r>
    </w:p>
    <w:p>
      <w:pPr>
        <w:pStyle w:val="Heading2"/>
        <w:keepNext/>
        <w:spacing w:after="120" w:before="240"/>
      </w:pPr>
      <w:r>
        <w:t xml:space="preserve">5.10 · Sí cumple</w:t>
      </w:r>
    </w:p>
    <w:p>
      <w:pPr>
        <w:spacing w:after="120"/>
      </w:pPr>
      <w:r>
        <w:t xml:space="preserve">Se asegura la limpieza de los equipos al finalizar cada aplicación con el fin de que no haya contaminación con la siguiente aplicación.</w:t>
      </w:r>
    </w:p>
    <w:p>
      <w:pPr>
        <w:pStyle w:val="Heading2"/>
        <w:keepNext/>
        <w:spacing w:after="120" w:before="240"/>
      </w:pPr>
      <w:r>
        <w:t xml:space="preserve">5.11 · No aplica</w:t>
      </w:r>
    </w:p>
    <w:p>
      <w:pPr>
        <w:spacing w:after="120"/>
      </w:pPr>
      <w:r>
        <w:t xml:space="preserve">La aplicación se registra en el formato de aplicaciones correspondiente al bloque</w:t>
      </w:r>
    </w:p>
    <w:p>
      <w:pPr>
        <w:pStyle w:val="Heading2"/>
        <w:keepNext/>
        <w:spacing w:after="120" w:before="240"/>
      </w:pPr>
      <w:r>
        <w:t xml:space="preserve">5.1 Presión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Mar>
              <w:top w:type="dxa" w:w="100"/>
              <w:left w:type="dxa" w:w="120"/>
              <w:bottom w:type="dxa" w:w="100"/>
              <w:right w:type="dxa" w:w="120"/>
            </w:tcMar>
          </w:tcPr>
          <w:p>
            <w:r>
              <w:t xml:space="preserve">Presión de la bomba (PSI)</w:t>
            </w:r>
          </w:p>
        </w:tc>
        <w:tc>
          <w:tcPr>
            <w:tcMar>
              <w:top w:type="dxa" w:w="100"/>
              <w:left w:type="dxa" w:w="120"/>
              <w:bottom w:type="dxa" w:w="100"/>
              <w:right w:type="dxa" w:w="120"/>
            </w:tcMar>
          </w:tcPr>
          <w:p>
            <w:r>
              <w:t xml:space="preserve">10 bares = 145 PSI</w:t>
            </w:r>
          </w:p>
        </w:tc>
      </w:tr>
    </w:tbl>
    <w:p>
      <w:pPr>
        <w:pStyle w:val="Heading2"/>
        <w:keepNext/>
        <w:spacing w:after="120" w:before="240"/>
      </w:pPr>
      <w:r>
        <w:t xml:space="preserve">5.3 Equipo de aplicación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Mar>
              <w:top w:type="dxa" w:w="100"/>
              <w:left w:type="dxa" w:w="120"/>
              <w:bottom w:type="dxa" w:w="100"/>
              <w:right w:type="dxa" w:w="120"/>
            </w:tcMar>
          </w:tcPr>
          <w:p>
            <w:r>
              <w:t xml:space="preserve">Equipo de aplicación</w:t>
            </w:r>
          </w:p>
        </w:tc>
        <w:tc>
          <w:tcPr>
            <w:tcMar>
              <w:top w:type="dxa" w:w="100"/>
              <w:left w:type="dxa" w:w="120"/>
              <w:bottom w:type="dxa" w:w="100"/>
              <w:right w:type="dxa" w:w="120"/>
            </w:tcMar>
          </w:tcPr>
          <w:p>
            <w:r>
              <w:t xml:space="preserve">Bomba Móvil </w:t>
            </w:r>
          </w:p>
        </w:tc>
      </w:tr>
      <w:tr>
        <w:tc>
          <w:tcPr>
            <w:tcMar>
              <w:top w:type="dxa" w:w="100"/>
              <w:left w:type="dxa" w:w="120"/>
              <w:bottom w:type="dxa" w:w="100"/>
              <w:right w:type="dxa" w:w="120"/>
            </w:tcMar>
          </w:tcPr>
          <w:p>
            <w:r>
              <w:t xml:space="preserve">Implementos de aplicación</w:t>
            </w:r>
          </w:p>
        </w:tc>
        <w:tc>
          <w:tcPr>
            <w:tcMar>
              <w:top w:type="dxa" w:w="100"/>
              <w:left w:type="dxa" w:w="120"/>
              <w:bottom w:type="dxa" w:w="100"/>
              <w:right w:type="dxa" w:w="120"/>
            </w:tcMar>
          </w:tcPr>
          <w:p>
            <w:r>
              <w:t xml:space="preserve">Aguilon  de 8 salidas con boquilla 8001 VK</w:t>
            </w:r>
          </w:p>
        </w:tc>
      </w:tr>
    </w:tbl>
    <w:p>
      <w:pPr>
        <w:pStyle w:val="Heading2"/>
        <w:keepNext/>
        <w:spacing w:after="120" w:before="240"/>
      </w:pPr>
      <w:r>
        <w:t xml:space="preserve">5.6 Volumen y tiempo por cama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Mar>
              <w:top w:type="dxa" w:w="100"/>
              <w:left w:type="dxa" w:w="120"/>
              <w:bottom w:type="dxa" w:w="100"/>
              <w:right w:type="dxa" w:w="120"/>
            </w:tcMar>
          </w:tcPr>
          <w:p>
            <w:r>
              <w:t xml:space="preserve">Volumen por cama (L)</w:t>
            </w:r>
          </w:p>
        </w:tc>
        <w:tc>
          <w:tcPr>
            <w:tcMar>
              <w:top w:type="dxa" w:w="100"/>
              <w:left w:type="dxa" w:w="120"/>
              <w:bottom w:type="dxa" w:w="100"/>
              <w:right w:type="dxa" w:w="120"/>
            </w:tcMar>
          </w:tcPr>
          <w:p>
            <w:r>
              <w:t xml:space="preserve">10</w:t>
            </w:r>
          </w:p>
        </w:tc>
      </w:tr>
      <w:tr>
        <w:tc>
          <w:tcPr>
            <w:tcMar>
              <w:top w:type="dxa" w:w="100"/>
              <w:left w:type="dxa" w:w="120"/>
              <w:bottom w:type="dxa" w:w="100"/>
              <w:right w:type="dxa" w:w="120"/>
            </w:tcMar>
          </w:tcPr>
          <w:p>
            <w:r>
              <w:t xml:space="preserve">Tiempo por cama (s)</w:t>
            </w:r>
          </w:p>
        </w:tc>
        <w:tc>
          <w:tcPr>
            <w:tcMar>
              <w:top w:type="dxa" w:w="100"/>
              <w:left w:type="dxa" w:w="120"/>
              <w:bottom w:type="dxa" w:w="100"/>
              <w:right w:type="dxa" w:w="120"/>
            </w:tcMar>
          </w:tcPr>
          <w:p>
            <w:r>
              <w:t xml:space="preserve">60</w:t>
            </w:r>
          </w:p>
        </w:tc>
      </w:tr>
    </w:tbl>
    <w:p>
      <w:pPr>
        <w:pStyle w:val="Heading1"/>
        <w:keepNext/>
        <w:spacing w:after="120" w:before="240"/>
      </w:pPr>
      <w:r>
        <w:t xml:space="preserve">Plan de acción</w:t>
      </w:r>
    </w:p>
    <w:p>
      <w:pPr>
        <w:pStyle w:val="Heading2"/>
        <w:keepNext/>
        <w:spacing w:after="120" w:before="240"/>
      </w:pPr>
      <w:r>
        <w:t xml:space="preserve">Hallazgo 3.1 · Propuesta</w:t>
      </w:r>
    </w:p>
    <w:p>
      <w:pPr>
        <w:spacing w:after="120"/>
      </w:pPr>
      <w:r>
        <w:t xml:space="preserve">Este punto esta pendiente por revisar.</w:t>
      </w:r>
    </w:p>
    <w:p>
      <w:pPr>
        <w:spacing w:after="120"/>
      </w:pPr>
      <w:r>
        <w:t xml:space="preserve">Acción: Corregir el incumplimiento identificado en 3.1, documentar la acción realizada y verificar su cierre en la próxima visita.</w:t>
      </w:r>
    </w:p>
    <w:p>
      <w:pPr>
        <w:spacing w:after="120"/>
      </w:pPr>
      <w:r>
        <w:t xml:space="preserve">Responsable: Supervisor Luis Carlos Pereira · Fecha límite: 2026-10-10</w:t>
      </w:r>
    </w:p>
    <w:p>
      <w:pPr>
        <w:pStyle w:val="Heading2"/>
        <w:keepNext/>
        <w:spacing w:after="120" w:before="240"/>
      </w:pPr>
      <w:r>
        <w:t xml:space="preserve">Hallazgo 3.2 · Propuesta</w:t>
      </w:r>
    </w:p>
    <w:p>
      <w:pPr>
        <w:spacing w:after="120"/>
      </w:pPr>
      <w:r>
        <w:t xml:space="preserve">Este punto esta pendiente por revisar.</w:t>
      </w:r>
    </w:p>
    <w:p>
      <w:pPr>
        <w:spacing w:after="120"/>
      </w:pPr>
      <w:r>
        <w:t xml:space="preserve">Acción: Corregir el incumplimiento identificado en 3.2, documentar la acción realizada y verificar su cierre en la próxima visita.</w:t>
      </w:r>
    </w:p>
    <w:p>
      <w:pPr>
        <w:spacing w:after="120"/>
      </w:pPr>
      <w:r>
        <w:t xml:space="preserve">Responsable: Supervisor Luis Carlos Pereira · Fecha límite: 2026-10-10</w:t>
      </w:r>
    </w:p>
    <w:p>
      <w:pPr>
        <w:pStyle w:val="Heading2"/>
        <w:keepNext/>
        <w:spacing w:after="120" w:before="240"/>
      </w:pPr>
      <w:r>
        <w:t xml:space="preserve">Hallazgo 3.3 · En proceso</w:t>
      </w:r>
    </w:p>
    <w:p>
      <w:pPr>
        <w:spacing w:after="120"/>
      </w:pPr>
      <w:r>
        <w:t xml:space="preserve">No dejan bajo llave  los productos dentro del vehículo de transporte interno  PPCS.</w:t>
      </w:r>
    </w:p>
    <w:p>
      <w:pPr>
        <w:spacing w:after="120"/>
      </w:pPr>
      <w:r>
        <w:t xml:space="preserve">Acción: Corregir el incumplimiento identificado en 3.3, documentar la acción realizada y verificar su cierre en la próxima visita.</w:t>
      </w:r>
    </w:p>
    <w:p>
      <w:pPr>
        <w:spacing w:after="120"/>
      </w:pPr>
      <w:r>
        <w:t xml:space="preserve">Responsable: Supervisor  Luis Carlos Pereira · Fecha límite: 2026-10-10</w:t>
      </w:r>
    </w:p>
    <w:p>
      <w:pPr>
        <w:spacing w:after="120"/>
      </w:pPr>
      <w:r>
        <w:t xml:space="preserve">Seguimiento / cierre: Verificar que los productos queden bajo llave en el vehículo de transporte interno</w:t>
      </w:r>
    </w:p>
    <w:p>
      <w:pPr>
        <w:pStyle w:val="Heading2"/>
        <w:keepNext/>
        <w:spacing w:after="120" w:before="240"/>
      </w:pPr>
      <w:r>
        <w:t xml:space="preserve">Hallazgo 3.4 · En proceso</w:t>
      </w:r>
    </w:p>
    <w:p>
      <w:pPr>
        <w:spacing w:after="120"/>
      </w:pPr>
      <w:r>
        <w:t xml:space="preserve">Se evidencia en campo qué el vehículo de trasporte no cuenta con el kit   de derrames.</w:t>
      </w:r>
    </w:p>
    <w:p>
      <w:pPr>
        <w:spacing w:after="120"/>
      </w:pPr>
      <w:r>
        <w:t xml:space="preserve">Acción: Corregir el incumplimiento identificado en 3.4, documentar la acción realizada y verificar su cierre en la próxima visita.</w:t>
      </w:r>
    </w:p>
    <w:p>
      <w:pPr>
        <w:spacing w:after="120"/>
      </w:pPr>
      <w:r>
        <w:t xml:space="preserve">Responsable: Luis  Carlos Pereira  y Seguridad y salud en el trabajo · Fecha límite: 2026-10-10</w:t>
      </w:r>
    </w:p>
    <w:p>
      <w:pPr>
        <w:pStyle w:val="Heading2"/>
        <w:keepNext/>
        <w:spacing w:after="120" w:before="240"/>
      </w:pPr>
      <w:r>
        <w:t xml:space="preserve">Hallazgo 4.4 · En proceso</w:t>
      </w:r>
    </w:p>
    <w:p>
      <w:pPr>
        <w:spacing w:after="120"/>
      </w:pPr>
      <w:r>
        <w:t xml:space="preserve">Se evidencia en campo que la regleta con la que miden el volumen de llenado los tanques no cumple ya que la regleta está rota  y no es confiable la medición que aparece </w:t>
      </w:r>
    </w:p>
    <w:p>
      <w:pPr>
        <w:spacing w:after="120"/>
      </w:pPr>
      <w:r>
        <w:t xml:space="preserve">Acción: Corregir el incumplimiento identificado en 4.4, documentar la acción realizada y verificar su cierre en la próxima visita.</w:t>
      </w:r>
    </w:p>
    <w:p>
      <w:pPr>
        <w:spacing w:after="120"/>
      </w:pPr>
      <w:r>
        <w:t xml:space="preserve">Responsable: Supervisor Luis Carlos Pereira · Fecha límite: 2026-10-10</w:t>
      </w:r>
    </w:p>
    <w:p>
      <w:pPr>
        <w:pStyle w:val="Heading2"/>
        <w:keepNext/>
        <w:spacing w:after="120" w:before="240"/>
      </w:pPr>
      <w:r>
        <w:t xml:space="preserve">Hallazgo 5.1 · En proceso</w:t>
      </w:r>
    </w:p>
    <w:p>
      <w:pPr>
        <w:spacing w:after="120"/>
      </w:pPr>
      <w:r>
        <w:t xml:space="preserve">El supervisor no tiene Claridad qué precio debe manejar en el implemento de aplicación, en la bomba de fumigación manejan una presión 10 bares,  lo que equivale a 145 PSI y en la salida del implemento de aplicación la presión es de  60 PSI.</w:t>
      </w:r>
    </w:p>
    <w:p>
      <w:pPr>
        <w:spacing w:after="120"/>
      </w:pPr>
      <w:r>
        <w:t xml:space="preserve">Acción: Corregir el incumplimiento identificado en 5.1, documentar la acción realizada y verificar su cierre en la próxima visita.</w:t>
      </w:r>
    </w:p>
    <w:p>
      <w:pPr>
        <w:spacing w:after="120"/>
      </w:pPr>
      <w:r>
        <w:t xml:space="preserve">Responsable: Supervisor Luis Carlos Pereira · Fecha límite: 2026-10-10</w:t>
      </w:r>
    </w:p>
    <w:p>
      <w:pPr>
        <w:pStyle w:val="Heading2"/>
        <w:keepNext/>
        <w:spacing w:after="120" w:before="240"/>
      </w:pPr>
      <w:r>
        <w:t xml:space="preserve">Hallazgo 5.2 · En proceso</w:t>
      </w:r>
    </w:p>
    <w:p>
      <w:pPr>
        <w:spacing w:after="120"/>
      </w:pPr>
      <w:r>
        <w:t xml:space="preserve">No se evidenció a foros recientes de los implementos de aplicación.</w:t>
      </w:r>
    </w:p>
    <w:p>
      <w:pPr>
        <w:spacing w:after="120"/>
      </w:pPr>
      <w:r>
        <w:t xml:space="preserve">Acción: Corregir el incumplimiento identificado en 5.2, documentar la acción realizada y verificar su cierre en la próxima visita.( Se debe realizar el aforo de los implementos de aplicación).</w:t>
      </w:r>
    </w:p>
    <w:p>
      <w:pPr>
        <w:spacing w:after="120"/>
      </w:pPr>
      <w:r>
        <w:t xml:space="preserve">Responsable: Supervisor Luis Carlos Pereira · Fecha límite: 2026-10-10</w:t>
      </w:r>
    </w:p>
    <w:p>
      <w:pPr>
        <w:pStyle w:val="Heading2"/>
        <w:keepNext/>
        <w:spacing w:after="120" w:before="240"/>
      </w:pPr>
      <w:r>
        <w:t xml:space="preserve">Hallazgo 5.3 · En proceso</w:t>
      </w:r>
    </w:p>
    <w:p>
      <w:pPr>
        <w:spacing w:after="120"/>
      </w:pPr>
      <w:r>
        <w:t xml:space="preserve">Se evidenciaron boquillas que sobrepasan el 10% de desfase Por lo cual las boquillas están para cambio.</w:t>
      </w:r>
    </w:p>
    <w:p>
      <w:pPr>
        <w:spacing w:after="120"/>
      </w:pPr>
      <w:r>
        <w:t xml:space="preserve">Acción: Corregir el incumplimiento identificado en 5.3, documentar la acción realizada y verificar su cierre en la próxima visita.(cambiar boquillas desfasados)</w:t>
      </w:r>
    </w:p>
    <w:p>
      <w:pPr>
        <w:spacing w:after="120"/>
      </w:pPr>
      <w:r>
        <w:t xml:space="preserve">Responsable: Supervisor Luis Carlos Pereira · Fecha límite: 2026-10-10</w:t>
      </w:r>
    </w:p>
    <w:p>
      <w:pPr>
        <w:pStyle w:val="Heading2"/>
        <w:keepNext/>
        <w:spacing w:after="120" w:before="240"/>
      </w:pPr>
      <w:r>
        <w:t xml:space="preserve">Hallazgo 5.6 · En proceso</w:t>
      </w:r>
    </w:p>
    <w:p>
      <w:pPr>
        <w:spacing w:after="120"/>
      </w:pPr>
      <w:r>
        <w:t xml:space="preserve">El tiempo de recorrió por cama que le dan a los asperjadores para aplicar el volumen programado no coincide con la descarga del implemento de aplicación versus el volumen programado.</w:t>
      </w:r>
    </w:p>
    <w:p>
      <w:pPr>
        <w:spacing w:after="120"/>
      </w:pPr>
      <w:r>
        <w:t xml:space="preserve">Acción: Corregir el incumplimiento identificado en 5.6, documentar la acción realizada y verificar su cierre en la próxima visita.</w:t>
      </w:r>
    </w:p>
    <w:p>
      <w:pPr>
        <w:spacing w:after="120"/>
      </w:pPr>
      <w:r>
        <w:t xml:space="preserve">Responsable: Supervisor Luis Carlos Pereira · Fecha límite: 2026-10-10</w:t>
      </w:r>
    </w:p>
    <w:p>
      <w:pPr>
        <w:pStyle w:val="Heading2"/>
        <w:keepNext/>
        <w:spacing w:after="120" w:before="240"/>
      </w:pPr>
      <w:r>
        <w:t xml:space="preserve">Hallazgo 5.7 · Propuesta</w:t>
      </w:r>
    </w:p>
    <w:p>
      <w:pPr>
        <w:spacing w:after="120"/>
      </w:pPr>
      <w:r>
        <w:t xml:space="preserve">La aplicación se realizó con aguilón de nueve salidas los litros programados por cama fueron 10, la descarga promedio del aguilón está en 7.7 con una presión de 60 PSI de acuerdo a esa descarga deberían gastar 78 segundos por cama los asperejadores y el tiempo real que están gastando son 60 Segundos.</w:t>
      </w:r>
    </w:p>
    <w:p>
      <w:pPr>
        <w:spacing w:after="120"/>
      </w:pPr>
      <w:r>
        <w:t xml:space="preserve">Acción: Corregir el incumplimiento identificado en 5.7, documentar la acción realizada y verificar su cierre en la próxima visita.</w:t>
      </w:r>
    </w:p>
    <w:p>
      <w:pPr>
        <w:spacing w:after="120"/>
      </w:pPr>
      <w:r>
        <w:t xml:space="preserve">Responsable: Supervisor Luis Carlos Pereira · Fecha límite: 2026-10-10</w:t>
      </w:r>
    </w:p>
    <w:p>
      <w:pPr>
        <w:pStyle w:val="Heading2"/>
        <w:keepNext/>
        <w:spacing w:after="120" w:before="240"/>
      </w:pPr>
      <w:r>
        <w:t xml:space="preserve">Hallazgo 5.9 · En proceso</w:t>
      </w:r>
    </w:p>
    <w:p>
      <w:pPr>
        <w:spacing w:after="120"/>
      </w:pPr>
      <w:r>
        <w:t xml:space="preserve">Se evidencia en campo que deben repetir cama los asperjadores ya que el tiempo que gastan por cama es menor al que realmente deben gastar, es decir están gastando 18 segundos menos por entrada razón por la cual sobra producto.</w:t>
      </w:r>
    </w:p>
    <w:p>
      <w:pPr>
        <w:spacing w:after="120"/>
      </w:pPr>
      <w:r>
        <w:t xml:space="preserve">Acción: Corregir el incumplimiento identificado en 5.9, documentar la acción realizada y verificar su cierre en la próxima visita.</w:t>
      </w:r>
    </w:p>
    <w:p>
      <w:pPr>
        <w:spacing w:after="120"/>
      </w:pPr>
      <w:r>
        <w:t xml:space="preserve">Responsable: Supervisor Luis Carlos Pereira · Fecha límite: 2026-10-10</w:t>
      </w:r>
    </w:p>
    <w:p>
      <w:pPr>
        <w:pStyle w:val="Heading1"/>
        <w:keepNext/>
        <w:spacing w:after="120" w:before="240"/>
      </w:pPr>
      <w:r>
        <w:t xml:space="preserve">Registro fotográfico</w:t>
      </w:r>
    </w:p>
    <w:p>
      <w:pPr>
        <w:keepNext/>
      </w:pPr>
      <w:r>
        <w:drawing>
          <wp:inline distT="0" distB="0" distL="0" distR="0">
            <wp:extent cx="2085975"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85975" cy="3714750"/>
                    </a:xfrm>
                    <a:prstGeom prst="rect">
                      <a:avLst/>
                    </a:prstGeom>
                  </pic:spPr>
                </pic:pic>
              </a:graphicData>
            </a:graphic>
          </wp:inline>
        </w:drawing>
      </w:r>
    </w:p>
    <w:p>
      <w:pPr>
        <w:spacing w:after="120"/>
      </w:pPr>
      <w:r>
        <w:t xml:space="preserve">Fotografía 1 · Capítulo 4 · Subcapítulo 4.4. Se evidencia en campo que la regleta con la que miden el volumen de llenado los tanques no cumple ya que la regleta está rota  y no es confiable la medición que aparece </w:t>
      </w:r>
    </w:p>
    <w:p>
      <w:pPr>
        <w:keepNext/>
      </w:pPr>
      <w:r>
        <w:drawing>
          <wp:inline distT="0" distB="0" distL="0" distR="0">
            <wp:extent cx="2085975"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85975" cy="3714750"/>
                    </a:xfrm>
                    <a:prstGeom prst="rect">
                      <a:avLst/>
                    </a:prstGeom>
                  </pic:spPr>
                </pic:pic>
              </a:graphicData>
            </a:graphic>
          </wp:inline>
        </w:drawing>
      </w:r>
    </w:p>
    <w:p>
      <w:pPr>
        <w:spacing w:after="120"/>
      </w:pPr>
      <w:r>
        <w:t xml:space="preserve">Fotografía 2 · Capítulo 5 · Subcapítulo 5.1. El supervisor no tiene Claridad qué precio debe manejar en el implemento de aplicación, en la bomba de fumigación manejan una presión 10 bares,  lo que equivale a 145 PSI y en la salida del implemento de aplicación la presión es de  60 PSI</w:t>
      </w:r>
    </w:p>
    <w:p>
      <w:pPr>
        <w:keepNext/>
      </w:pPr>
      <w:r>
        <w:drawing>
          <wp:inline distT="0" distB="0" distL="0" distR="0">
            <wp:extent cx="2085975"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85975" cy="3714750"/>
                    </a:xfrm>
                    <a:prstGeom prst="rect">
                      <a:avLst/>
                    </a:prstGeom>
                  </pic:spPr>
                </pic:pic>
              </a:graphicData>
            </a:graphic>
          </wp:inline>
        </w:drawing>
      </w:r>
    </w:p>
    <w:p>
      <w:pPr>
        <w:spacing w:after="120"/>
      </w:pPr>
      <w:r>
        <w:t xml:space="preserve">Fotografía 3 · Capítulo 5 · Subcapítulo 5.2. No se evidenció a foros recientes de los implementos de aplicación.</w:t>
      </w:r>
    </w:p>
    <w:p>
      <w:pPr>
        <w:keepNext/>
      </w:pPr>
      <w:r>
        <w:drawing>
          <wp:inline distT="0" distB="0" distL="0" distR="0">
            <wp:extent cx="2085975"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85975" cy="3714750"/>
                    </a:xfrm>
                    <a:prstGeom prst="rect">
                      <a:avLst/>
                    </a:prstGeom>
                  </pic:spPr>
                </pic:pic>
              </a:graphicData>
            </a:graphic>
          </wp:inline>
        </w:drawing>
      </w:r>
    </w:p>
    <w:p>
      <w:pPr>
        <w:spacing w:after="120"/>
      </w:pPr>
      <w:r>
        <w:t xml:space="preserve">Fotografía 4 · Capítulo 5 · Subcapítulo 5.7. La aplicación se realizó con aguilón de nueve salidas los litros programados por cama fueron 10, la descarga promedio del aguilón está en 7.7 con una presión de 60 PSI de acuerdo a esa descarga deberían gastar 78 segundos por cama los asperejadores y el tiempo real que están gastando son 60 Segundos.</w:t>
      </w:r>
    </w:p>
    <w:p>
      <w:pPr>
        <w:pStyle w:val="Heading1"/>
        <w:keepNext/>
        <w:spacing w:after="120" w:before="240"/>
      </w:pPr>
      <w:r>
        <w:t xml:space="preserve">Responsables</w:t>
      </w:r>
    </w:p>
    <w:p>
      <w:pPr>
        <w:spacing w:after="120"/>
      </w:pPr>
      <w:r>
        <w:t xml:space="preserve">Wilson Castro</w:t>
      </w:r>
    </w:p>
    <w:p>
      <w:pPr>
        <w:spacing w:after="120"/>
      </w:pPr>
      <w:r>
        <w:t xml:space="preserve">Mónica  Tarazona · Representante técnico comercial</w:t>
      </w:r>
    </w:p>
    <w:p>
      <w:pPr>
        <w:spacing w:after="120"/>
      </w:pPr>
      <w:r>
        <w:t xml:space="preserve">Viviana Prieto · Representante de la finca</w:t>
      </w:r>
    </w:p>
    <w:sectPr>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D31"/>
        <w:sz w:val="22"/>
        <w:szCs w:val="22"/>
      </w:rPr>
    </w:rPrDefault>
    <w:pPrDefault>
      <w:pPr>
        <w:spacing w:after="120" w:line="276"/>
      </w:pPr>
    </w:pPrDefault>
  </w:docDefaults>
  <w:style w:type="paragraph" w:styleId="Title">
    <w:name w:val="Title"/>
    <w:basedOn w:val="Normal"/>
    <w:next w:val="Normal"/>
    <w:qFormat/>
    <w:rPr>
      <w:rFonts w:ascii="Arial" w:cs="Arial" w:eastAsia="Arial" w:hAnsi="Arial"/>
      <w:b/>
      <w:bCs/>
      <w:color w:val="000000"/>
      <w:sz w:val="36"/>
      <w:szCs w:val="36"/>
    </w:rPr>
  </w:style>
  <w:style w:type="paragraph" w:styleId="Heading1">
    <w:name w:val="Heading 1"/>
    <w:basedOn w:val="Normal"/>
    <w:next w:val="Normal"/>
    <w:qFormat/>
    <w:rPr>
      <w:rFonts w:ascii="Arial" w:cs="Arial" w:eastAsia="Arial" w:hAnsi="Arial"/>
      <w:b/>
      <w:bCs/>
      <w:color w:val="000000"/>
      <w:sz w:val="28"/>
      <w:szCs w:val="28"/>
    </w:rPr>
  </w:style>
  <w:style w:type="paragraph" w:styleId="Heading2">
    <w:name w:val="Heading 2"/>
    <w:basedOn w:val="Normal"/>
    <w:next w:val="Normal"/>
    <w:qFormat/>
    <w:rPr>
      <w:rFonts w:ascii="Arial" w:cs="Arial" w:eastAsia="Arial" w:hAnsi="Arial"/>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3c4bc2a0f944e9e104533fccd318267c1d1f52.jpg"/><Relationship Id="rId8" Type="http://schemas.openxmlformats.org/officeDocument/2006/relationships/image" Target="media/56be9852ec5016fe7e348faa24c24a61ecbd3b56.jpg"/><Relationship Id="rId9" Type="http://schemas.openxmlformats.org/officeDocument/2006/relationships/image" Target="media/39942d33cf73bff19b317d4cba0c13e92844af34.jpg"/><Relationship Id="rId10" Type="http://schemas.openxmlformats.org/officeDocument/2006/relationships/image" Target="media/2e999beab477062e2c7466989468f314b7c635cf.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Comercializadora Tucan</dc:title>
  <dc:creator>CARE 360</dc:creator>
  <cp:lastModifiedBy>Un-named</cp:lastModifiedBy>
  <cp:revision>1</cp:revision>
  <dcterms:created xsi:type="dcterms:W3CDTF">2026-09-17T02:24:25.861Z</dcterms:created>
  <dcterms:modified xsi:type="dcterms:W3CDTF">2026-09-17T02:24:25.862Z</dcterms:modified>
</cp:coreProperties>
</file>

<file path=docProps/custom.xml><?xml version="1.0" encoding="utf-8"?>
<Properties xmlns="http://schemas.openxmlformats.org/officeDocument/2006/custom-properties" xmlns:vt="http://schemas.openxmlformats.org/officeDocument/2006/docPropsVTypes"/>
</file>